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ook w:val="0000"/>
      </w:tblPr>
      <w:tblGrid>
        <w:gridCol w:w="5047"/>
        <w:gridCol w:w="3674"/>
      </w:tblGrid>
      <w:tr w:rsidR="0094500F" w:rsidRPr="00DD0CF8" w:rsidTr="00DD713D">
        <w:trPr>
          <w:trHeight w:hRule="exact" w:val="670"/>
          <w:jc w:val="center"/>
        </w:trPr>
        <w:tc>
          <w:tcPr>
            <w:tcW w:w="8721" w:type="dxa"/>
            <w:gridSpan w:val="2"/>
          </w:tcPr>
          <w:p w:rsidR="0094500F" w:rsidRPr="00DD0CF8" w:rsidRDefault="0094500F" w:rsidP="00DD713D">
            <w:pPr>
              <w:pStyle w:val="a3"/>
              <w:jc w:val="center"/>
              <w:rPr>
                <w:rFonts w:ascii="Tahoma" w:hAnsi="Tahoma"/>
                <w:noProof w:val="0"/>
                <w:color w:val="000080"/>
                <w:sz w:val="32"/>
                <w:szCs w:val="32"/>
                <w:rtl/>
              </w:rPr>
            </w:pPr>
            <w:bookmarkStart w:id="0" w:name="LastJudge"/>
            <w:r w:rsidRPr="00DD0CF8">
              <w:rPr>
                <w:rFonts w:ascii="Tahoma" w:hAnsi="Tahoma"/>
                <w:b/>
                <w:bCs/>
                <w:noProof w:val="0"/>
                <w:color w:val="000080"/>
                <w:sz w:val="32"/>
                <w:szCs w:val="32"/>
                <w:rtl/>
              </w:rPr>
              <w:t>בית משפט לתביעות קטנות בתל אביב - יפו</w:t>
            </w:r>
          </w:p>
        </w:tc>
      </w:tr>
      <w:tr w:rsidR="0094500F" w:rsidRPr="00DD0CF8" w:rsidTr="00DD713D">
        <w:trPr>
          <w:trHeight w:val="337"/>
          <w:jc w:val="center"/>
        </w:trPr>
        <w:tc>
          <w:tcPr>
            <w:tcW w:w="5047" w:type="dxa"/>
          </w:tcPr>
          <w:p w:rsidR="0094500F" w:rsidRPr="00DD0CF8" w:rsidRDefault="0094500F" w:rsidP="00DD713D">
            <w:pPr>
              <w:rPr>
                <w:b/>
                <w:bCs/>
                <w:noProof w:val="0"/>
                <w:sz w:val="26"/>
                <w:szCs w:val="26"/>
                <w:rtl/>
              </w:rPr>
            </w:pPr>
          </w:p>
        </w:tc>
        <w:tc>
          <w:tcPr>
            <w:tcW w:w="3674" w:type="dxa"/>
          </w:tcPr>
          <w:p w:rsidR="0094500F" w:rsidRPr="00DD0CF8" w:rsidRDefault="0094500F" w:rsidP="00DD713D">
            <w:pPr>
              <w:pStyle w:val="a3"/>
              <w:jc w:val="right"/>
              <w:rPr>
                <w:b/>
                <w:bCs/>
                <w:noProof w:val="0"/>
                <w:sz w:val="26"/>
                <w:szCs w:val="26"/>
                <w:rtl/>
              </w:rPr>
            </w:pPr>
          </w:p>
        </w:tc>
      </w:tr>
      <w:tr w:rsidR="0094500F" w:rsidRPr="00DD0CF8" w:rsidTr="00DD713D">
        <w:trPr>
          <w:trHeight w:val="337"/>
          <w:jc w:val="center"/>
        </w:trPr>
        <w:tc>
          <w:tcPr>
            <w:tcW w:w="8721" w:type="dxa"/>
            <w:gridSpan w:val="2"/>
          </w:tcPr>
          <w:p w:rsidR="0094500F" w:rsidRPr="00DD0CF8" w:rsidRDefault="0094500F" w:rsidP="00DD713D">
            <w:pPr>
              <w:rPr>
                <w:b/>
                <w:bCs/>
                <w:noProof w:val="0"/>
                <w:sz w:val="26"/>
                <w:szCs w:val="26"/>
                <w:rtl/>
              </w:rPr>
            </w:pPr>
            <w:r w:rsidRPr="00DD0CF8">
              <w:rPr>
                <w:b/>
                <w:bCs/>
                <w:noProof w:val="0"/>
                <w:sz w:val="26"/>
                <w:szCs w:val="26"/>
                <w:rtl/>
              </w:rPr>
              <w:t>ת"ק 42367-11-17 עוזרי נ' בית החוגים והאומנויות בע"מ</w:t>
            </w:r>
          </w:p>
          <w:p w:rsidR="0094500F" w:rsidRPr="00DD0CF8" w:rsidRDefault="0094500F" w:rsidP="00DD713D">
            <w:pPr>
              <w:rPr>
                <w:b/>
                <w:bCs/>
                <w:noProof w:val="0"/>
                <w:sz w:val="26"/>
                <w:szCs w:val="26"/>
                <w:rtl/>
              </w:rPr>
            </w:pPr>
            <w:r w:rsidRPr="00DD0CF8">
              <w:rPr>
                <w:rFonts w:hint="cs"/>
                <w:b/>
                <w:bCs/>
                <w:noProof w:val="0"/>
                <w:sz w:val="26"/>
                <w:szCs w:val="26"/>
                <w:rtl/>
              </w:rPr>
              <w:t xml:space="preserve"> </w:t>
            </w:r>
          </w:p>
        </w:tc>
      </w:tr>
    </w:tbl>
    <w:p w:rsidR="0094500F" w:rsidRPr="00DD0CF8" w:rsidRDefault="0094500F" w:rsidP="0094500F">
      <w:pPr>
        <w:pStyle w:val="a3"/>
        <w:rPr>
          <w:noProof w:val="0"/>
          <w:sz w:val="26"/>
          <w:szCs w:val="26"/>
          <w:rtl/>
        </w:rPr>
      </w:pPr>
    </w:p>
    <w:p w:rsidR="0094500F" w:rsidRPr="00DD0CF8" w:rsidRDefault="0094500F" w:rsidP="0094500F">
      <w:pPr>
        <w:suppressLineNumbers/>
        <w:rPr>
          <w:sz w:val="26"/>
          <w:szCs w:val="26"/>
          <w:rtl/>
        </w:rPr>
      </w:pPr>
    </w:p>
    <w:tbl>
      <w:tblPr>
        <w:bidiVisual/>
        <w:tblW w:w="8820" w:type="dxa"/>
        <w:jc w:val="center"/>
        <w:tblLook w:val="01E0"/>
      </w:tblPr>
      <w:tblGrid>
        <w:gridCol w:w="3249"/>
        <w:gridCol w:w="5571"/>
      </w:tblGrid>
      <w:tr w:rsidR="0094500F" w:rsidRPr="00DD0CF8" w:rsidTr="0094500F">
        <w:trPr>
          <w:jc w:val="center"/>
        </w:trPr>
        <w:tc>
          <w:tcPr>
            <w:tcW w:w="8820" w:type="dxa"/>
            <w:gridSpan w:val="2"/>
            <w:shd w:val="clear" w:color="auto" w:fill="auto"/>
          </w:tcPr>
          <w:p w:rsidR="0094500F" w:rsidRPr="00DD0CF8" w:rsidRDefault="0094500F" w:rsidP="0094500F">
            <w:pPr>
              <w:jc w:val="both"/>
              <w:rPr>
                <w:b/>
                <w:bCs/>
                <w:sz w:val="26"/>
                <w:szCs w:val="26"/>
              </w:rPr>
            </w:pPr>
            <w:r w:rsidRPr="00DD0CF8">
              <w:rPr>
                <w:rFonts w:hint="cs"/>
                <w:b/>
                <w:bCs/>
                <w:sz w:val="26"/>
                <w:szCs w:val="26"/>
                <w:rtl/>
              </w:rPr>
              <w:t xml:space="preserve">לפני </w:t>
            </w:r>
            <w:r w:rsidRPr="00DD0CF8">
              <w:rPr>
                <w:rFonts w:ascii="Arial" w:hAnsi="Arial" w:hint="cs"/>
                <w:b/>
                <w:bCs/>
                <w:sz w:val="26"/>
                <w:szCs w:val="26"/>
                <w:rtl/>
              </w:rPr>
              <w:t>כבוד ה</w:t>
            </w:r>
            <w:r w:rsidRPr="00DD0CF8">
              <w:rPr>
                <w:rFonts w:ascii="Arial" w:hAnsi="Arial"/>
                <w:b/>
                <w:bCs/>
                <w:sz w:val="26"/>
                <w:szCs w:val="26"/>
                <w:rtl/>
              </w:rPr>
              <w:t>שופטת</w:t>
            </w:r>
            <w:r w:rsidRPr="00DD0CF8">
              <w:rPr>
                <w:rFonts w:ascii="Arial" w:hAnsi="Arial" w:hint="cs"/>
                <w:b/>
                <w:bCs/>
                <w:sz w:val="26"/>
                <w:szCs w:val="26"/>
                <w:rtl/>
              </w:rPr>
              <w:t xml:space="preserve"> </w:t>
            </w:r>
            <w:r w:rsidRPr="00DD0CF8">
              <w:rPr>
                <w:rFonts w:ascii="Arial" w:hAnsi="Arial"/>
                <w:b/>
                <w:bCs/>
                <w:sz w:val="26"/>
                <w:szCs w:val="26"/>
                <w:rtl/>
              </w:rPr>
              <w:t>דלית ורד</w:t>
            </w:r>
          </w:p>
        </w:tc>
      </w:tr>
      <w:tr w:rsidR="0094500F" w:rsidRPr="00DD0CF8" w:rsidTr="0094500F">
        <w:trPr>
          <w:jc w:val="center"/>
        </w:trPr>
        <w:tc>
          <w:tcPr>
            <w:tcW w:w="3249" w:type="dxa"/>
            <w:shd w:val="clear" w:color="auto" w:fill="auto"/>
          </w:tcPr>
          <w:p w:rsidR="0094500F" w:rsidRPr="00DD0CF8" w:rsidRDefault="0094500F" w:rsidP="0094500F">
            <w:pPr>
              <w:bidi w:val="0"/>
              <w:rPr>
                <w:rFonts w:ascii="Arial (W1)" w:hAnsi="Arial (W1)"/>
                <w:b/>
                <w:bCs/>
                <w:noProof w:val="0"/>
                <w:sz w:val="26"/>
                <w:szCs w:val="26"/>
                <w:rtl/>
              </w:rPr>
            </w:pPr>
            <w:bookmarkStart w:id="1" w:name="FirstAppellant"/>
          </w:p>
          <w:p w:rsidR="0094500F" w:rsidRPr="00DD0CF8" w:rsidRDefault="0094500F" w:rsidP="00DD713D">
            <w:pPr>
              <w:rPr>
                <w:rFonts w:ascii="Arial (W1)" w:hAnsi="Arial (W1)"/>
                <w:b/>
                <w:bCs/>
                <w:noProof w:val="0"/>
                <w:sz w:val="26"/>
                <w:szCs w:val="26"/>
              </w:rPr>
            </w:pPr>
            <w:r w:rsidRPr="00DD0CF8">
              <w:rPr>
                <w:rFonts w:hint="cs"/>
                <w:b/>
                <w:bCs/>
                <w:sz w:val="26"/>
                <w:szCs w:val="26"/>
                <w:rtl/>
              </w:rPr>
              <w:t>ה</w:t>
            </w:r>
            <w:r w:rsidRPr="00DD0CF8">
              <w:rPr>
                <w:rFonts w:hint="cs"/>
                <w:b/>
                <w:bCs/>
                <w:noProof w:val="0"/>
                <w:sz w:val="26"/>
                <w:szCs w:val="26"/>
                <w:rtl/>
              </w:rPr>
              <w:t>תובעים</w:t>
            </w:r>
            <w:r w:rsidRPr="00DD0CF8">
              <w:rPr>
                <w:rFonts w:hint="cs"/>
                <w:b/>
                <w:bCs/>
                <w:sz w:val="26"/>
                <w:szCs w:val="26"/>
                <w:rtl/>
              </w:rPr>
              <w:t>:</w:t>
            </w:r>
          </w:p>
        </w:tc>
        <w:tc>
          <w:tcPr>
            <w:tcW w:w="5571" w:type="dxa"/>
            <w:shd w:val="clear" w:color="auto" w:fill="auto"/>
          </w:tcPr>
          <w:p w:rsidR="0094500F" w:rsidRPr="00DD0CF8" w:rsidRDefault="0094500F" w:rsidP="00DD713D">
            <w:pPr>
              <w:rPr>
                <w:rFonts w:ascii="Arial (W1)" w:hAnsi="Arial (W1)"/>
                <w:b/>
                <w:bCs/>
                <w:noProof w:val="0"/>
                <w:sz w:val="26"/>
                <w:szCs w:val="26"/>
                <w:rtl/>
              </w:rPr>
            </w:pPr>
          </w:p>
          <w:p w:rsidR="0094500F" w:rsidRPr="00DD0CF8" w:rsidRDefault="0094500F" w:rsidP="00DD713D">
            <w:pPr>
              <w:rPr>
                <w:sz w:val="26"/>
                <w:szCs w:val="26"/>
              </w:rPr>
            </w:pPr>
            <w:r w:rsidRPr="00DD0CF8">
              <w:rPr>
                <w:rFonts w:hint="cs"/>
                <w:b/>
                <w:bCs/>
                <w:noProof w:val="0"/>
                <w:sz w:val="26"/>
                <w:szCs w:val="26"/>
                <w:rtl/>
              </w:rPr>
              <w:t>רעות עוזרי</w:t>
            </w:r>
          </w:p>
        </w:tc>
      </w:tr>
      <w:bookmarkEnd w:id="1"/>
      <w:tr w:rsidR="0094500F" w:rsidRPr="00DD0CF8" w:rsidTr="0094500F">
        <w:trPr>
          <w:jc w:val="center"/>
        </w:trPr>
        <w:tc>
          <w:tcPr>
            <w:tcW w:w="8820" w:type="dxa"/>
            <w:gridSpan w:val="2"/>
            <w:shd w:val="clear" w:color="auto" w:fill="auto"/>
          </w:tcPr>
          <w:p w:rsidR="0094500F" w:rsidRPr="00DD0CF8" w:rsidRDefault="0094500F" w:rsidP="00DD713D">
            <w:pPr>
              <w:rPr>
                <w:rFonts w:ascii="Arial (W1)" w:hAnsi="Arial (W1)"/>
                <w:b/>
                <w:bCs/>
                <w:noProof w:val="0"/>
                <w:sz w:val="26"/>
                <w:szCs w:val="26"/>
                <w:rtl/>
              </w:rPr>
            </w:pPr>
          </w:p>
          <w:p w:rsidR="0094500F" w:rsidRPr="00DD0CF8" w:rsidRDefault="0094500F" w:rsidP="0094500F">
            <w:pPr>
              <w:jc w:val="center"/>
              <w:rPr>
                <w:b/>
                <w:bCs/>
                <w:noProof w:val="0"/>
                <w:sz w:val="26"/>
                <w:szCs w:val="26"/>
                <w:rtl/>
              </w:rPr>
            </w:pPr>
            <w:r w:rsidRPr="00DD0CF8">
              <w:rPr>
                <w:rFonts w:hint="cs"/>
                <w:b/>
                <w:bCs/>
                <w:noProof w:val="0"/>
                <w:sz w:val="26"/>
                <w:szCs w:val="26"/>
                <w:rtl/>
              </w:rPr>
              <w:t>נגד</w:t>
            </w:r>
          </w:p>
          <w:p w:rsidR="0094500F" w:rsidRPr="00DD0CF8" w:rsidRDefault="0094500F" w:rsidP="00DD713D">
            <w:pPr>
              <w:rPr>
                <w:rFonts w:ascii="Arial (W1)" w:hAnsi="Arial (W1)"/>
                <w:b/>
                <w:bCs/>
                <w:noProof w:val="0"/>
                <w:sz w:val="22"/>
                <w:szCs w:val="22"/>
              </w:rPr>
            </w:pPr>
          </w:p>
        </w:tc>
      </w:tr>
      <w:tr w:rsidR="0094500F" w:rsidRPr="00DD0CF8" w:rsidTr="0094500F">
        <w:trPr>
          <w:jc w:val="center"/>
        </w:trPr>
        <w:tc>
          <w:tcPr>
            <w:tcW w:w="3249" w:type="dxa"/>
            <w:shd w:val="clear" w:color="auto" w:fill="auto"/>
          </w:tcPr>
          <w:p w:rsidR="0094500F" w:rsidRPr="00DD0CF8" w:rsidRDefault="0094500F" w:rsidP="00DD713D">
            <w:pPr>
              <w:rPr>
                <w:rFonts w:ascii="Arial (W1)" w:hAnsi="Arial (W1)"/>
                <w:b/>
                <w:bCs/>
                <w:noProof w:val="0"/>
                <w:sz w:val="26"/>
                <w:szCs w:val="26"/>
                <w:rtl/>
              </w:rPr>
            </w:pPr>
          </w:p>
          <w:p w:rsidR="0094500F" w:rsidRPr="00DD0CF8" w:rsidRDefault="0094500F" w:rsidP="00DD713D">
            <w:pPr>
              <w:rPr>
                <w:rFonts w:ascii="Arial (W1)" w:hAnsi="Arial (W1)"/>
                <w:b/>
                <w:bCs/>
                <w:noProof w:val="0"/>
                <w:sz w:val="26"/>
                <w:szCs w:val="26"/>
              </w:rPr>
            </w:pPr>
            <w:r w:rsidRPr="00DD0CF8">
              <w:rPr>
                <w:rFonts w:hint="cs"/>
                <w:b/>
                <w:bCs/>
                <w:sz w:val="26"/>
                <w:szCs w:val="26"/>
                <w:rtl/>
              </w:rPr>
              <w:t>ה</w:t>
            </w:r>
            <w:r w:rsidRPr="00DD0CF8">
              <w:rPr>
                <w:rFonts w:hint="cs"/>
                <w:b/>
                <w:bCs/>
                <w:noProof w:val="0"/>
                <w:sz w:val="26"/>
                <w:szCs w:val="26"/>
                <w:rtl/>
              </w:rPr>
              <w:t>נתבעים</w:t>
            </w:r>
            <w:r w:rsidRPr="00DD0CF8">
              <w:rPr>
                <w:rFonts w:ascii="Arial (W1)" w:hAnsi="Arial (W1)" w:hint="cs"/>
                <w:b/>
                <w:bCs/>
                <w:noProof w:val="0"/>
                <w:sz w:val="26"/>
                <w:szCs w:val="26"/>
                <w:rtl/>
              </w:rPr>
              <w:t>:</w:t>
            </w:r>
          </w:p>
        </w:tc>
        <w:tc>
          <w:tcPr>
            <w:tcW w:w="5571" w:type="dxa"/>
            <w:shd w:val="clear" w:color="auto" w:fill="auto"/>
          </w:tcPr>
          <w:p w:rsidR="0094500F" w:rsidRPr="00DD0CF8" w:rsidRDefault="0094500F" w:rsidP="00DD713D">
            <w:pPr>
              <w:rPr>
                <w:rFonts w:ascii="Arial (W1)" w:hAnsi="Arial (W1)"/>
                <w:b/>
                <w:bCs/>
                <w:noProof w:val="0"/>
                <w:sz w:val="26"/>
                <w:szCs w:val="26"/>
                <w:rtl/>
              </w:rPr>
            </w:pPr>
          </w:p>
          <w:p w:rsidR="0094500F" w:rsidRPr="00DD0CF8" w:rsidRDefault="0094500F" w:rsidP="00DD713D">
            <w:pPr>
              <w:rPr>
                <w:sz w:val="26"/>
                <w:szCs w:val="26"/>
              </w:rPr>
            </w:pPr>
            <w:r w:rsidRPr="00DD0CF8">
              <w:rPr>
                <w:rFonts w:hint="cs"/>
                <w:b/>
                <w:bCs/>
                <w:noProof w:val="0"/>
                <w:sz w:val="26"/>
                <w:szCs w:val="26"/>
                <w:rtl/>
              </w:rPr>
              <w:t>בית החוגים והאומנויות בע"מ</w:t>
            </w:r>
          </w:p>
        </w:tc>
      </w:tr>
    </w:tbl>
    <w:p w:rsidR="00893309" w:rsidRDefault="00893309" w:rsidP="0094500F">
      <w:pPr>
        <w:suppressLineNumbers/>
        <w:rPr>
          <w:rFonts w:ascii="Arial (W1)" w:hAnsi="Arial (W1)"/>
          <w:sz w:val="28"/>
          <w:szCs w:val="28"/>
          <w:rtl/>
        </w:rPr>
      </w:pPr>
      <w:bookmarkStart w:id="2" w:name="LawTable"/>
      <w:bookmarkEnd w:id="2"/>
    </w:p>
    <w:p w:rsidR="00893309" w:rsidRPr="00893309" w:rsidRDefault="00893309" w:rsidP="00893309">
      <w:pPr>
        <w:suppressLineNumbers/>
        <w:spacing w:after="120" w:line="240" w:lineRule="exact"/>
        <w:ind w:left="283" w:hanging="283"/>
        <w:jc w:val="both"/>
        <w:rPr>
          <w:rFonts w:ascii="FrankRuehl" w:hAnsi="FrankRuehl" w:cs="FrankRuehl"/>
          <w:rtl/>
        </w:rPr>
      </w:pPr>
      <w:r w:rsidRPr="00893309">
        <w:rPr>
          <w:rFonts w:ascii="FrankRuehl" w:hAnsi="FrankRuehl" w:cs="FrankRuehl" w:hint="eastAsia"/>
          <w:rtl/>
        </w:rPr>
        <w:t>חקיקה</w:t>
      </w:r>
      <w:r w:rsidRPr="00893309">
        <w:rPr>
          <w:rFonts w:ascii="FrankRuehl" w:hAnsi="FrankRuehl" w:cs="FrankRuehl"/>
          <w:rtl/>
        </w:rPr>
        <w:t xml:space="preserve"> </w:t>
      </w:r>
      <w:r w:rsidRPr="00893309">
        <w:rPr>
          <w:rFonts w:ascii="FrankRuehl" w:hAnsi="FrankRuehl" w:cs="FrankRuehl" w:hint="eastAsia"/>
          <w:rtl/>
        </w:rPr>
        <w:t>שאוזכרה</w:t>
      </w:r>
      <w:r w:rsidRPr="00893309">
        <w:rPr>
          <w:rFonts w:ascii="FrankRuehl" w:hAnsi="FrankRuehl" w:cs="FrankRuehl"/>
          <w:rtl/>
        </w:rPr>
        <w:t xml:space="preserve">: </w:t>
      </w:r>
    </w:p>
    <w:p w:rsidR="00893309" w:rsidRPr="00893309" w:rsidRDefault="008022AB" w:rsidP="00893309">
      <w:pPr>
        <w:suppressLineNumbers/>
        <w:spacing w:after="120" w:line="240" w:lineRule="exact"/>
        <w:ind w:left="283" w:hanging="283"/>
        <w:jc w:val="both"/>
        <w:rPr>
          <w:rFonts w:ascii="FrankRuehl" w:hAnsi="FrankRuehl" w:cs="FrankRuehl"/>
          <w:rtl/>
        </w:rPr>
      </w:pPr>
      <w:hyperlink r:id="rId7" w:history="1">
        <w:r w:rsidR="00893309" w:rsidRPr="00893309">
          <w:rPr>
            <w:rFonts w:ascii="FrankRuehl" w:hAnsi="FrankRuehl" w:cs="FrankRuehl" w:hint="eastAsia"/>
            <w:color w:val="0000FF"/>
            <w:u w:val="single"/>
            <w:rtl/>
          </w:rPr>
          <w:t>תקנות</w:t>
        </w:r>
        <w:r w:rsidR="00893309" w:rsidRPr="00893309">
          <w:rPr>
            <w:rFonts w:ascii="FrankRuehl" w:hAnsi="FrankRuehl" w:cs="FrankRuehl"/>
            <w:color w:val="0000FF"/>
            <w:u w:val="single"/>
            <w:rtl/>
          </w:rPr>
          <w:t xml:space="preserve"> </w:t>
        </w:r>
        <w:r w:rsidR="00893309" w:rsidRPr="00893309">
          <w:rPr>
            <w:rFonts w:ascii="FrankRuehl" w:hAnsi="FrankRuehl" w:cs="FrankRuehl" w:hint="eastAsia"/>
            <w:color w:val="0000FF"/>
            <w:u w:val="single"/>
            <w:rtl/>
          </w:rPr>
          <w:t>הגנת</w:t>
        </w:r>
        <w:r w:rsidR="00893309" w:rsidRPr="00893309">
          <w:rPr>
            <w:rFonts w:ascii="FrankRuehl" w:hAnsi="FrankRuehl" w:cs="FrankRuehl"/>
            <w:color w:val="0000FF"/>
            <w:u w:val="single"/>
            <w:rtl/>
          </w:rPr>
          <w:t xml:space="preserve"> </w:t>
        </w:r>
        <w:r w:rsidR="00893309" w:rsidRPr="00893309">
          <w:rPr>
            <w:rFonts w:ascii="FrankRuehl" w:hAnsi="FrankRuehl" w:cs="FrankRuehl" w:hint="eastAsia"/>
            <w:color w:val="0000FF"/>
            <w:u w:val="single"/>
            <w:rtl/>
          </w:rPr>
          <w:t>הצרכן</w:t>
        </w:r>
        <w:r w:rsidR="00893309" w:rsidRPr="00893309">
          <w:rPr>
            <w:rFonts w:ascii="FrankRuehl" w:hAnsi="FrankRuehl" w:cs="FrankRuehl"/>
            <w:color w:val="0000FF"/>
            <w:u w:val="single"/>
            <w:rtl/>
          </w:rPr>
          <w:t xml:space="preserve"> (</w:t>
        </w:r>
        <w:r w:rsidR="00893309" w:rsidRPr="00893309">
          <w:rPr>
            <w:rFonts w:ascii="FrankRuehl" w:hAnsi="FrankRuehl" w:cs="FrankRuehl" w:hint="eastAsia"/>
            <w:color w:val="0000FF"/>
            <w:u w:val="single"/>
            <w:rtl/>
          </w:rPr>
          <w:t>ביטול</w:t>
        </w:r>
        <w:r w:rsidR="00893309" w:rsidRPr="00893309">
          <w:rPr>
            <w:rFonts w:ascii="FrankRuehl" w:hAnsi="FrankRuehl" w:cs="FrankRuehl"/>
            <w:color w:val="0000FF"/>
            <w:u w:val="single"/>
            <w:rtl/>
          </w:rPr>
          <w:t xml:space="preserve"> </w:t>
        </w:r>
        <w:r w:rsidR="00893309" w:rsidRPr="00893309">
          <w:rPr>
            <w:rFonts w:ascii="FrankRuehl" w:hAnsi="FrankRuehl" w:cs="FrankRuehl" w:hint="eastAsia"/>
            <w:color w:val="0000FF"/>
            <w:u w:val="single"/>
            <w:rtl/>
          </w:rPr>
          <w:t>עסקה</w:t>
        </w:r>
        <w:r w:rsidR="00893309" w:rsidRPr="00893309">
          <w:rPr>
            <w:rFonts w:ascii="FrankRuehl" w:hAnsi="FrankRuehl" w:cs="FrankRuehl"/>
            <w:color w:val="0000FF"/>
            <w:u w:val="single"/>
            <w:rtl/>
          </w:rPr>
          <w:t xml:space="preserve">), </w:t>
        </w:r>
        <w:r w:rsidR="00893309" w:rsidRPr="00893309">
          <w:rPr>
            <w:rFonts w:ascii="FrankRuehl" w:hAnsi="FrankRuehl" w:cs="FrankRuehl" w:hint="eastAsia"/>
            <w:color w:val="0000FF"/>
            <w:u w:val="single"/>
            <w:rtl/>
          </w:rPr>
          <w:t>תשע</w:t>
        </w:r>
        <w:r w:rsidR="00893309" w:rsidRPr="00893309">
          <w:rPr>
            <w:rFonts w:ascii="FrankRuehl" w:hAnsi="FrankRuehl" w:cs="FrankRuehl"/>
            <w:color w:val="0000FF"/>
            <w:u w:val="single"/>
            <w:rtl/>
          </w:rPr>
          <w:t>"</w:t>
        </w:r>
        <w:r w:rsidR="00893309" w:rsidRPr="00893309">
          <w:rPr>
            <w:rFonts w:ascii="FrankRuehl" w:hAnsi="FrankRuehl" w:cs="FrankRuehl" w:hint="eastAsia"/>
            <w:color w:val="0000FF"/>
            <w:u w:val="single"/>
            <w:rtl/>
          </w:rPr>
          <w:t>א</w:t>
        </w:r>
        <w:r w:rsidR="00893309" w:rsidRPr="00893309">
          <w:rPr>
            <w:rFonts w:ascii="FrankRuehl" w:hAnsi="FrankRuehl" w:cs="FrankRuehl"/>
            <w:color w:val="0000FF"/>
            <w:u w:val="single"/>
            <w:rtl/>
          </w:rPr>
          <w:t>-2010</w:t>
        </w:r>
      </w:hyperlink>
      <w:r w:rsidR="00893309" w:rsidRPr="00893309">
        <w:rPr>
          <w:rFonts w:ascii="FrankRuehl" w:hAnsi="FrankRuehl" w:cs="FrankRuehl"/>
          <w:rtl/>
        </w:rPr>
        <w:t xml:space="preserve">: </w:t>
      </w:r>
      <w:r w:rsidR="00893309" w:rsidRPr="00893309">
        <w:rPr>
          <w:rFonts w:ascii="FrankRuehl" w:hAnsi="FrankRuehl" w:cs="FrankRuehl" w:hint="eastAsia"/>
          <w:rtl/>
        </w:rPr>
        <w:t>סע</w:t>
      </w:r>
      <w:r w:rsidR="00893309" w:rsidRPr="00893309">
        <w:rPr>
          <w:rFonts w:ascii="FrankRuehl" w:hAnsi="FrankRuehl" w:cs="FrankRuehl"/>
          <w:rtl/>
        </w:rPr>
        <w:t xml:space="preserve">'  </w:t>
      </w:r>
      <w:hyperlink r:id="rId8" w:history="1">
        <w:r w:rsidR="00893309" w:rsidRPr="00893309">
          <w:rPr>
            <w:rFonts w:ascii="FrankRuehl" w:hAnsi="FrankRuehl" w:cs="FrankRuehl"/>
            <w:color w:val="0000FF"/>
            <w:u w:val="single"/>
            <w:rtl/>
          </w:rPr>
          <w:t>2(3)</w:t>
        </w:r>
      </w:hyperlink>
      <w:r w:rsidR="00893309" w:rsidRPr="00893309">
        <w:rPr>
          <w:rFonts w:ascii="FrankRuehl" w:hAnsi="FrankRuehl" w:cs="FrankRuehl"/>
          <w:rtl/>
        </w:rPr>
        <w:t xml:space="preserve">, </w:t>
      </w:r>
      <w:hyperlink r:id="rId9" w:history="1">
        <w:r w:rsidR="00893309" w:rsidRPr="00893309">
          <w:rPr>
            <w:rFonts w:ascii="FrankRuehl" w:hAnsi="FrankRuehl" w:cs="FrankRuehl" w:hint="eastAsia"/>
            <w:color w:val="0000FF"/>
            <w:u w:val="single"/>
            <w:rtl/>
          </w:rPr>
          <w:t>ו</w:t>
        </w:r>
        <w:r w:rsidR="00893309" w:rsidRPr="00893309">
          <w:rPr>
            <w:rFonts w:ascii="FrankRuehl" w:hAnsi="FrankRuehl" w:cs="FrankRuehl"/>
            <w:color w:val="0000FF"/>
            <w:u w:val="single"/>
            <w:rtl/>
          </w:rPr>
          <w:t xml:space="preserve"> 9 </w:t>
        </w:r>
        <w:r w:rsidR="00893309" w:rsidRPr="00893309">
          <w:rPr>
            <w:rFonts w:ascii="FrankRuehl" w:hAnsi="FrankRuehl" w:cs="FrankRuehl" w:hint="eastAsia"/>
            <w:color w:val="0000FF"/>
            <w:u w:val="single"/>
            <w:rtl/>
          </w:rPr>
          <w:t>לתוספת</w:t>
        </w:r>
      </w:hyperlink>
    </w:p>
    <w:p w:rsidR="00893309" w:rsidRPr="00893309" w:rsidRDefault="008022AB" w:rsidP="00893309">
      <w:pPr>
        <w:suppressLineNumbers/>
        <w:spacing w:after="120" w:line="240" w:lineRule="exact"/>
        <w:ind w:left="283" w:hanging="283"/>
        <w:jc w:val="both"/>
        <w:rPr>
          <w:rFonts w:ascii="FrankRuehl" w:hAnsi="FrankRuehl" w:cs="FrankRuehl"/>
          <w:rtl/>
        </w:rPr>
      </w:pPr>
      <w:hyperlink r:id="rId10" w:history="1">
        <w:r w:rsidR="00893309" w:rsidRPr="00893309">
          <w:rPr>
            <w:rFonts w:ascii="FrankRuehl" w:hAnsi="FrankRuehl" w:cs="FrankRuehl" w:hint="eastAsia"/>
            <w:color w:val="0000FF"/>
            <w:u w:val="single"/>
            <w:rtl/>
          </w:rPr>
          <w:t>חוק</w:t>
        </w:r>
        <w:r w:rsidR="00893309" w:rsidRPr="00893309">
          <w:rPr>
            <w:rFonts w:ascii="FrankRuehl" w:hAnsi="FrankRuehl" w:cs="FrankRuehl"/>
            <w:color w:val="0000FF"/>
            <w:u w:val="single"/>
            <w:rtl/>
          </w:rPr>
          <w:t xml:space="preserve"> </w:t>
        </w:r>
        <w:r w:rsidR="00893309" w:rsidRPr="00893309">
          <w:rPr>
            <w:rFonts w:ascii="FrankRuehl" w:hAnsi="FrankRuehl" w:cs="FrankRuehl" w:hint="eastAsia"/>
            <w:color w:val="0000FF"/>
            <w:u w:val="single"/>
            <w:rtl/>
          </w:rPr>
          <w:t>הגנת</w:t>
        </w:r>
        <w:r w:rsidR="00893309" w:rsidRPr="00893309">
          <w:rPr>
            <w:rFonts w:ascii="FrankRuehl" w:hAnsi="FrankRuehl" w:cs="FrankRuehl"/>
            <w:color w:val="0000FF"/>
            <w:u w:val="single"/>
            <w:rtl/>
          </w:rPr>
          <w:t xml:space="preserve"> </w:t>
        </w:r>
        <w:r w:rsidR="00893309" w:rsidRPr="00893309">
          <w:rPr>
            <w:rFonts w:ascii="FrankRuehl" w:hAnsi="FrankRuehl" w:cs="FrankRuehl" w:hint="eastAsia"/>
            <w:color w:val="0000FF"/>
            <w:u w:val="single"/>
            <w:rtl/>
          </w:rPr>
          <w:t>הצרכן</w:t>
        </w:r>
        <w:r w:rsidR="00893309" w:rsidRPr="00893309">
          <w:rPr>
            <w:rFonts w:ascii="FrankRuehl" w:hAnsi="FrankRuehl" w:cs="FrankRuehl"/>
            <w:color w:val="0000FF"/>
            <w:u w:val="single"/>
            <w:rtl/>
          </w:rPr>
          <w:t xml:space="preserve">, </w:t>
        </w:r>
        <w:r w:rsidR="00893309" w:rsidRPr="00893309">
          <w:rPr>
            <w:rFonts w:ascii="FrankRuehl" w:hAnsi="FrankRuehl" w:cs="FrankRuehl" w:hint="eastAsia"/>
            <w:color w:val="0000FF"/>
            <w:u w:val="single"/>
            <w:rtl/>
          </w:rPr>
          <w:t>תשמ</w:t>
        </w:r>
        <w:r w:rsidR="00893309" w:rsidRPr="00893309">
          <w:rPr>
            <w:rFonts w:ascii="FrankRuehl" w:hAnsi="FrankRuehl" w:cs="FrankRuehl"/>
            <w:color w:val="0000FF"/>
            <w:u w:val="single"/>
            <w:rtl/>
          </w:rPr>
          <w:t>"</w:t>
        </w:r>
        <w:r w:rsidR="00893309" w:rsidRPr="00893309">
          <w:rPr>
            <w:rFonts w:ascii="FrankRuehl" w:hAnsi="FrankRuehl" w:cs="FrankRuehl" w:hint="eastAsia"/>
            <w:color w:val="0000FF"/>
            <w:u w:val="single"/>
            <w:rtl/>
          </w:rPr>
          <w:t>א</w:t>
        </w:r>
        <w:r w:rsidR="00893309" w:rsidRPr="00893309">
          <w:rPr>
            <w:rFonts w:ascii="FrankRuehl" w:hAnsi="FrankRuehl" w:cs="FrankRuehl"/>
            <w:color w:val="0000FF"/>
            <w:u w:val="single"/>
            <w:rtl/>
          </w:rPr>
          <w:t>-1981</w:t>
        </w:r>
      </w:hyperlink>
    </w:p>
    <w:p w:rsidR="00893309" w:rsidRPr="00893309" w:rsidRDefault="008022AB" w:rsidP="00893309">
      <w:pPr>
        <w:suppressLineNumbers/>
        <w:spacing w:after="120" w:line="240" w:lineRule="exact"/>
        <w:ind w:left="283" w:hanging="283"/>
        <w:jc w:val="both"/>
        <w:rPr>
          <w:rFonts w:ascii="FrankRuehl" w:hAnsi="FrankRuehl" w:cs="FrankRuehl"/>
          <w:rtl/>
        </w:rPr>
      </w:pPr>
      <w:hyperlink r:id="rId11" w:history="1">
        <w:r w:rsidR="00893309" w:rsidRPr="00893309">
          <w:rPr>
            <w:rFonts w:ascii="FrankRuehl" w:hAnsi="FrankRuehl" w:cs="FrankRuehl" w:hint="eastAsia"/>
            <w:color w:val="0000FF"/>
            <w:u w:val="single"/>
            <w:rtl/>
          </w:rPr>
          <w:t>חוק</w:t>
        </w:r>
        <w:r w:rsidR="00893309" w:rsidRPr="00893309">
          <w:rPr>
            <w:rFonts w:ascii="FrankRuehl" w:hAnsi="FrankRuehl" w:cs="FrankRuehl"/>
            <w:color w:val="0000FF"/>
            <w:u w:val="single"/>
            <w:rtl/>
          </w:rPr>
          <w:t xml:space="preserve"> </w:t>
        </w:r>
        <w:r w:rsidR="00893309" w:rsidRPr="00893309">
          <w:rPr>
            <w:rFonts w:ascii="FrankRuehl" w:hAnsi="FrankRuehl" w:cs="FrankRuehl" w:hint="eastAsia"/>
            <w:color w:val="0000FF"/>
            <w:u w:val="single"/>
            <w:rtl/>
          </w:rPr>
          <w:t>הפיקוח</w:t>
        </w:r>
        <w:r w:rsidR="00893309" w:rsidRPr="00893309">
          <w:rPr>
            <w:rFonts w:ascii="FrankRuehl" w:hAnsi="FrankRuehl" w:cs="FrankRuehl"/>
            <w:color w:val="0000FF"/>
            <w:u w:val="single"/>
            <w:rtl/>
          </w:rPr>
          <w:t xml:space="preserve"> </w:t>
        </w:r>
        <w:r w:rsidR="00893309" w:rsidRPr="00893309">
          <w:rPr>
            <w:rFonts w:ascii="FrankRuehl" w:hAnsi="FrankRuehl" w:cs="FrankRuehl" w:hint="eastAsia"/>
            <w:color w:val="0000FF"/>
            <w:u w:val="single"/>
            <w:rtl/>
          </w:rPr>
          <w:t>על</w:t>
        </w:r>
        <w:r w:rsidR="00893309" w:rsidRPr="00893309">
          <w:rPr>
            <w:rFonts w:ascii="FrankRuehl" w:hAnsi="FrankRuehl" w:cs="FrankRuehl"/>
            <w:color w:val="0000FF"/>
            <w:u w:val="single"/>
            <w:rtl/>
          </w:rPr>
          <w:t xml:space="preserve"> </w:t>
        </w:r>
        <w:r w:rsidR="00893309" w:rsidRPr="00893309">
          <w:rPr>
            <w:rFonts w:ascii="FrankRuehl" w:hAnsi="FrankRuehl" w:cs="FrankRuehl" w:hint="eastAsia"/>
            <w:color w:val="0000FF"/>
            <w:u w:val="single"/>
            <w:rtl/>
          </w:rPr>
          <w:t>מכונים</w:t>
        </w:r>
        <w:r w:rsidR="00893309" w:rsidRPr="00893309">
          <w:rPr>
            <w:rFonts w:ascii="FrankRuehl" w:hAnsi="FrankRuehl" w:cs="FrankRuehl"/>
            <w:color w:val="0000FF"/>
            <w:u w:val="single"/>
            <w:rtl/>
          </w:rPr>
          <w:t xml:space="preserve"> </w:t>
        </w:r>
        <w:r w:rsidR="00893309" w:rsidRPr="00893309">
          <w:rPr>
            <w:rFonts w:ascii="FrankRuehl" w:hAnsi="FrankRuehl" w:cs="FrankRuehl" w:hint="eastAsia"/>
            <w:color w:val="0000FF"/>
            <w:u w:val="single"/>
            <w:rtl/>
          </w:rPr>
          <w:t>פסיכומטריים</w:t>
        </w:r>
        <w:r w:rsidR="00893309" w:rsidRPr="00893309">
          <w:rPr>
            <w:rFonts w:ascii="FrankRuehl" w:hAnsi="FrankRuehl" w:cs="FrankRuehl"/>
            <w:color w:val="0000FF"/>
            <w:u w:val="single"/>
            <w:rtl/>
          </w:rPr>
          <w:t xml:space="preserve">, </w:t>
        </w:r>
        <w:r w:rsidR="00893309" w:rsidRPr="00893309">
          <w:rPr>
            <w:rFonts w:ascii="FrankRuehl" w:hAnsi="FrankRuehl" w:cs="FrankRuehl" w:hint="eastAsia"/>
            <w:color w:val="0000FF"/>
            <w:u w:val="single"/>
            <w:rtl/>
          </w:rPr>
          <w:t>תשס</w:t>
        </w:r>
        <w:r w:rsidR="00893309" w:rsidRPr="00893309">
          <w:rPr>
            <w:rFonts w:ascii="FrankRuehl" w:hAnsi="FrankRuehl" w:cs="FrankRuehl"/>
            <w:color w:val="0000FF"/>
            <w:u w:val="single"/>
            <w:rtl/>
          </w:rPr>
          <w:t>"</w:t>
        </w:r>
        <w:r w:rsidR="00893309" w:rsidRPr="00893309">
          <w:rPr>
            <w:rFonts w:ascii="FrankRuehl" w:hAnsi="FrankRuehl" w:cs="FrankRuehl" w:hint="eastAsia"/>
            <w:color w:val="0000FF"/>
            <w:u w:val="single"/>
            <w:rtl/>
          </w:rPr>
          <w:t>ט</w:t>
        </w:r>
        <w:r w:rsidR="00893309" w:rsidRPr="00893309">
          <w:rPr>
            <w:rFonts w:ascii="FrankRuehl" w:hAnsi="FrankRuehl" w:cs="FrankRuehl"/>
            <w:color w:val="0000FF"/>
            <w:u w:val="single"/>
            <w:rtl/>
          </w:rPr>
          <w:t>-2008</w:t>
        </w:r>
      </w:hyperlink>
    </w:p>
    <w:p w:rsidR="00893309" w:rsidRPr="00893309" w:rsidRDefault="008022AB" w:rsidP="00893309">
      <w:pPr>
        <w:suppressLineNumbers/>
        <w:spacing w:after="120" w:line="240" w:lineRule="exact"/>
        <w:ind w:left="283" w:hanging="283"/>
        <w:jc w:val="both"/>
        <w:rPr>
          <w:rFonts w:ascii="FrankRuehl" w:hAnsi="FrankRuehl" w:cs="FrankRuehl"/>
          <w:rtl/>
        </w:rPr>
      </w:pPr>
      <w:hyperlink r:id="rId12" w:history="1">
        <w:r w:rsidR="00893309" w:rsidRPr="00893309">
          <w:rPr>
            <w:rFonts w:ascii="FrankRuehl" w:hAnsi="FrankRuehl" w:cs="FrankRuehl" w:hint="eastAsia"/>
            <w:color w:val="0000FF"/>
            <w:u w:val="single"/>
            <w:rtl/>
          </w:rPr>
          <w:t>חוק</w:t>
        </w:r>
        <w:r w:rsidR="00893309" w:rsidRPr="00893309">
          <w:rPr>
            <w:rFonts w:ascii="FrankRuehl" w:hAnsi="FrankRuehl" w:cs="FrankRuehl"/>
            <w:color w:val="0000FF"/>
            <w:u w:val="single"/>
            <w:rtl/>
          </w:rPr>
          <w:t xml:space="preserve"> </w:t>
        </w:r>
        <w:r w:rsidR="00893309" w:rsidRPr="00893309">
          <w:rPr>
            <w:rFonts w:ascii="FrankRuehl" w:hAnsi="FrankRuehl" w:cs="FrankRuehl" w:hint="eastAsia"/>
            <w:color w:val="0000FF"/>
            <w:u w:val="single"/>
            <w:rtl/>
          </w:rPr>
          <w:t>הפרשנות</w:t>
        </w:r>
        <w:r w:rsidR="00893309" w:rsidRPr="00893309">
          <w:rPr>
            <w:rFonts w:ascii="FrankRuehl" w:hAnsi="FrankRuehl" w:cs="FrankRuehl"/>
            <w:color w:val="0000FF"/>
            <w:u w:val="single"/>
            <w:rtl/>
          </w:rPr>
          <w:t xml:space="preserve">, </w:t>
        </w:r>
        <w:r w:rsidR="00893309" w:rsidRPr="00893309">
          <w:rPr>
            <w:rFonts w:ascii="FrankRuehl" w:hAnsi="FrankRuehl" w:cs="FrankRuehl" w:hint="eastAsia"/>
            <w:color w:val="0000FF"/>
            <w:u w:val="single"/>
            <w:rtl/>
          </w:rPr>
          <w:t>תשמ</w:t>
        </w:r>
        <w:r w:rsidR="00893309" w:rsidRPr="00893309">
          <w:rPr>
            <w:rFonts w:ascii="FrankRuehl" w:hAnsi="FrankRuehl" w:cs="FrankRuehl"/>
            <w:color w:val="0000FF"/>
            <w:u w:val="single"/>
            <w:rtl/>
          </w:rPr>
          <w:t>"</w:t>
        </w:r>
        <w:r w:rsidR="00893309" w:rsidRPr="00893309">
          <w:rPr>
            <w:rFonts w:ascii="FrankRuehl" w:hAnsi="FrankRuehl" w:cs="FrankRuehl" w:hint="eastAsia"/>
            <w:color w:val="0000FF"/>
            <w:u w:val="single"/>
            <w:rtl/>
          </w:rPr>
          <w:t>א</w:t>
        </w:r>
        <w:r w:rsidR="00893309" w:rsidRPr="00893309">
          <w:rPr>
            <w:rFonts w:ascii="FrankRuehl" w:hAnsi="FrankRuehl" w:cs="FrankRuehl"/>
            <w:color w:val="0000FF"/>
            <w:u w:val="single"/>
            <w:rtl/>
          </w:rPr>
          <w:t>-1981</w:t>
        </w:r>
      </w:hyperlink>
      <w:r w:rsidR="00893309" w:rsidRPr="00893309">
        <w:rPr>
          <w:rFonts w:ascii="FrankRuehl" w:hAnsi="FrankRuehl" w:cs="FrankRuehl"/>
          <w:rtl/>
        </w:rPr>
        <w:t xml:space="preserve">: </w:t>
      </w:r>
      <w:r w:rsidR="00893309" w:rsidRPr="00893309">
        <w:rPr>
          <w:rFonts w:ascii="FrankRuehl" w:hAnsi="FrankRuehl" w:cs="FrankRuehl" w:hint="eastAsia"/>
          <w:rtl/>
        </w:rPr>
        <w:t>סע</w:t>
      </w:r>
      <w:r w:rsidR="00893309" w:rsidRPr="00893309">
        <w:rPr>
          <w:rFonts w:ascii="FrankRuehl" w:hAnsi="FrankRuehl" w:cs="FrankRuehl"/>
          <w:rtl/>
        </w:rPr>
        <w:t xml:space="preserve">'  </w:t>
      </w:r>
      <w:hyperlink r:id="rId13" w:history="1">
        <w:r w:rsidR="00893309" w:rsidRPr="00893309">
          <w:rPr>
            <w:rFonts w:ascii="FrankRuehl" w:hAnsi="FrankRuehl" w:cs="FrankRuehl"/>
            <w:color w:val="0000FF"/>
            <w:u w:val="single"/>
            <w:rtl/>
          </w:rPr>
          <w:t>10</w:t>
        </w:r>
      </w:hyperlink>
    </w:p>
    <w:p w:rsidR="00893309" w:rsidRPr="00893309" w:rsidRDefault="00893309" w:rsidP="00893309">
      <w:pPr>
        <w:suppressLineNumbers/>
        <w:spacing w:after="120" w:line="240" w:lineRule="exact"/>
        <w:ind w:left="283" w:hanging="283"/>
        <w:jc w:val="both"/>
        <w:rPr>
          <w:rFonts w:ascii="FrankRuehl" w:hAnsi="FrankRuehl" w:cs="FrankRuehl"/>
          <w:rtl/>
        </w:rPr>
      </w:pPr>
    </w:p>
    <w:tbl>
      <w:tblPr>
        <w:bidiVisual/>
        <w:tblW w:w="8820" w:type="dxa"/>
        <w:jc w:val="center"/>
        <w:tblLook w:val="01E0"/>
      </w:tblPr>
      <w:tblGrid>
        <w:gridCol w:w="8820"/>
      </w:tblGrid>
      <w:tr w:rsidR="0094500F" w:rsidTr="0094500F">
        <w:trPr>
          <w:jc w:val="center"/>
        </w:trPr>
        <w:tc>
          <w:tcPr>
            <w:tcW w:w="8820" w:type="dxa"/>
            <w:shd w:val="clear" w:color="auto" w:fill="auto"/>
          </w:tcPr>
          <w:p w:rsidR="00DD0CF8" w:rsidRPr="00DD0CF8" w:rsidRDefault="00DD0CF8" w:rsidP="00DD0CF8">
            <w:pPr>
              <w:bidi w:val="0"/>
              <w:jc w:val="center"/>
              <w:rPr>
                <w:rFonts w:ascii="Arial" w:hAnsi="Arial"/>
                <w:b/>
                <w:bCs/>
                <w:noProof w:val="0"/>
                <w:sz w:val="28"/>
                <w:szCs w:val="28"/>
                <w:u w:val="single"/>
                <w:rtl/>
              </w:rPr>
            </w:pPr>
            <w:bookmarkStart w:id="3" w:name="LawTable_End"/>
            <w:bookmarkStart w:id="4" w:name="PsakDin" w:colFirst="0" w:colLast="0"/>
            <w:bookmarkEnd w:id="0"/>
            <w:bookmarkEnd w:id="3"/>
            <w:r w:rsidRPr="00DD0CF8">
              <w:rPr>
                <w:rFonts w:ascii="Arial" w:hAnsi="Arial"/>
                <w:b/>
                <w:bCs/>
                <w:noProof w:val="0"/>
                <w:sz w:val="28"/>
                <w:szCs w:val="28"/>
                <w:u w:val="single"/>
                <w:rtl/>
              </w:rPr>
              <w:t>פסק דין</w:t>
            </w:r>
          </w:p>
          <w:p w:rsidR="0094500F" w:rsidRPr="00DD0CF8" w:rsidRDefault="0094500F" w:rsidP="00DD0CF8">
            <w:pPr>
              <w:bidi w:val="0"/>
              <w:jc w:val="center"/>
              <w:rPr>
                <w:rFonts w:ascii="Arial" w:hAnsi="Arial"/>
                <w:b/>
                <w:bCs/>
                <w:noProof w:val="0"/>
                <w:sz w:val="28"/>
                <w:szCs w:val="28"/>
                <w:u w:val="single"/>
              </w:rPr>
            </w:pPr>
          </w:p>
        </w:tc>
      </w:tr>
    </w:tbl>
    <w:bookmarkEnd w:id="4"/>
    <w:p w:rsidR="0094500F" w:rsidRPr="00B53A09" w:rsidRDefault="0094500F" w:rsidP="0094500F">
      <w:pPr>
        <w:keepNext/>
        <w:keepLines/>
        <w:spacing w:before="360" w:after="240"/>
        <w:outlineLvl w:val="0"/>
        <w:rPr>
          <w:b/>
          <w:bCs/>
          <w:noProof w:val="0"/>
          <w:rtl/>
        </w:rPr>
      </w:pPr>
      <w:r w:rsidRPr="00B53A09">
        <w:rPr>
          <w:b/>
          <w:bCs/>
          <w:noProof w:val="0"/>
          <w:rtl/>
        </w:rPr>
        <w:t>פתח דבר</w:t>
      </w:r>
    </w:p>
    <w:p w:rsidR="0094500F" w:rsidRPr="00B53A09" w:rsidRDefault="0094500F" w:rsidP="0094500F">
      <w:pPr>
        <w:numPr>
          <w:ilvl w:val="0"/>
          <w:numId w:val="1"/>
        </w:numPr>
        <w:spacing w:before="240" w:after="240" w:line="360" w:lineRule="auto"/>
        <w:ind w:left="363" w:hanging="357"/>
        <w:jc w:val="both"/>
        <w:rPr>
          <w:noProof w:val="0"/>
        </w:rPr>
      </w:pPr>
      <w:bookmarkStart w:id="5" w:name="ABSTRACT_START"/>
      <w:bookmarkEnd w:id="5"/>
      <w:r w:rsidRPr="00B53A09">
        <w:rPr>
          <w:noProof w:val="0"/>
          <w:rtl/>
        </w:rPr>
        <w:t xml:space="preserve">התובעת נרשמה למסלול לימודים אותו מציעה הנתבעת. ימים ספורים לאחר הרישום, פנתה </w:t>
      </w:r>
      <w:r>
        <w:rPr>
          <w:rFonts w:hint="cs"/>
          <w:noProof w:val="0"/>
          <w:rtl/>
        </w:rPr>
        <w:t xml:space="preserve">התובעת </w:t>
      </w:r>
      <w:r w:rsidRPr="00B53A09">
        <w:rPr>
          <w:noProof w:val="0"/>
          <w:rtl/>
        </w:rPr>
        <w:t>ובקשה לבטל את העסקה</w:t>
      </w:r>
      <w:r>
        <w:rPr>
          <w:rFonts w:hint="cs"/>
          <w:noProof w:val="0"/>
          <w:rtl/>
        </w:rPr>
        <w:t xml:space="preserve">. </w:t>
      </w:r>
      <w:r w:rsidRPr="00B53A09">
        <w:rPr>
          <w:noProof w:val="0"/>
          <w:rtl/>
        </w:rPr>
        <w:t xml:space="preserve">הנתבעת סירבה. התובעת מבקשת כי יינתן צו המורה לנתבעת לבטל את העסקה ולהשיב לה סך 2,000 ₪ ששילמה כמקדמה. זאת, </w:t>
      </w:r>
      <w:r>
        <w:rPr>
          <w:rFonts w:hint="cs"/>
          <w:noProof w:val="0"/>
          <w:rtl/>
        </w:rPr>
        <w:t xml:space="preserve">בתוספת פיצוי </w:t>
      </w:r>
      <w:r w:rsidRPr="00B53A09">
        <w:rPr>
          <w:noProof w:val="0"/>
          <w:rtl/>
        </w:rPr>
        <w:t>בסך 1,000 ₪.</w:t>
      </w:r>
    </w:p>
    <w:p w:rsidR="0094500F" w:rsidRPr="00B53A09" w:rsidRDefault="0094500F" w:rsidP="0094500F">
      <w:pPr>
        <w:numPr>
          <w:ilvl w:val="0"/>
          <w:numId w:val="1"/>
        </w:numPr>
        <w:spacing w:before="240" w:after="240" w:line="360" w:lineRule="auto"/>
        <w:ind w:left="363" w:hanging="357"/>
        <w:jc w:val="both"/>
        <w:rPr>
          <w:noProof w:val="0"/>
        </w:rPr>
      </w:pPr>
      <w:bookmarkStart w:id="6" w:name="ABSTRACT_END"/>
      <w:bookmarkEnd w:id="6"/>
      <w:r w:rsidRPr="00B53A09">
        <w:rPr>
          <w:noProof w:val="0"/>
          <w:rtl/>
        </w:rPr>
        <w:t>מצאתי כי יש לקבל את התביעה.</w:t>
      </w:r>
    </w:p>
    <w:p w:rsidR="0094500F" w:rsidRPr="00B53A09" w:rsidRDefault="0094500F" w:rsidP="0094500F">
      <w:pPr>
        <w:numPr>
          <w:ilvl w:val="0"/>
          <w:numId w:val="1"/>
        </w:numPr>
        <w:spacing w:before="240" w:after="240" w:line="360" w:lineRule="auto"/>
        <w:ind w:left="363" w:hanging="357"/>
        <w:jc w:val="both"/>
        <w:rPr>
          <w:noProof w:val="0"/>
        </w:rPr>
      </w:pPr>
      <w:r w:rsidRPr="00B53A09">
        <w:rPr>
          <w:noProof w:val="0"/>
          <w:rtl/>
        </w:rPr>
        <w:t>להלן אפרט את הנימוקים לקביעה זו.</w:t>
      </w:r>
    </w:p>
    <w:p w:rsidR="0094500F" w:rsidRPr="00B53A09" w:rsidRDefault="0094500F" w:rsidP="0094500F">
      <w:pPr>
        <w:keepNext/>
        <w:keepLines/>
        <w:spacing w:before="360" w:after="240"/>
        <w:outlineLvl w:val="0"/>
        <w:rPr>
          <w:b/>
          <w:bCs/>
          <w:noProof w:val="0"/>
        </w:rPr>
      </w:pPr>
      <w:r w:rsidRPr="00B53A09">
        <w:rPr>
          <w:b/>
          <w:bCs/>
          <w:noProof w:val="0"/>
          <w:rtl/>
        </w:rPr>
        <w:t>טענות הצדדים (בתמצית)</w:t>
      </w:r>
    </w:p>
    <w:p w:rsidR="0094500F" w:rsidRPr="00B53A09" w:rsidRDefault="0094500F" w:rsidP="0094500F">
      <w:pPr>
        <w:numPr>
          <w:ilvl w:val="0"/>
          <w:numId w:val="1"/>
        </w:numPr>
        <w:spacing w:before="240" w:after="240" w:line="360" w:lineRule="auto"/>
        <w:ind w:left="363" w:hanging="357"/>
        <w:jc w:val="both"/>
        <w:rPr>
          <w:noProof w:val="0"/>
        </w:rPr>
      </w:pPr>
      <w:r w:rsidRPr="00B53A09">
        <w:rPr>
          <w:noProof w:val="0"/>
          <w:rtl/>
        </w:rPr>
        <w:t xml:space="preserve">התובעת טוענת כי היא זכאית לבטל את </w:t>
      </w:r>
      <w:r>
        <w:rPr>
          <w:noProof w:val="0"/>
          <w:rtl/>
        </w:rPr>
        <w:t xml:space="preserve">העסקה, תוך שהיא תומכת את טענתה </w:t>
      </w:r>
      <w:r>
        <w:rPr>
          <w:rFonts w:hint="cs"/>
          <w:noProof w:val="0"/>
          <w:rtl/>
        </w:rPr>
        <w:t>ב</w:t>
      </w:r>
      <w:r w:rsidRPr="00B53A09">
        <w:rPr>
          <w:noProof w:val="0"/>
          <w:rtl/>
        </w:rPr>
        <w:t>עובדות שאינן במחלוקת ובהוראות הדין.</w:t>
      </w:r>
    </w:p>
    <w:p w:rsidR="0094500F" w:rsidRPr="00B53A09" w:rsidRDefault="0094500F" w:rsidP="0094500F">
      <w:pPr>
        <w:numPr>
          <w:ilvl w:val="0"/>
          <w:numId w:val="1"/>
        </w:numPr>
        <w:spacing w:before="240" w:after="240" w:line="360" w:lineRule="auto"/>
        <w:ind w:left="363" w:hanging="357"/>
        <w:jc w:val="both"/>
        <w:rPr>
          <w:noProof w:val="0"/>
        </w:rPr>
      </w:pPr>
      <w:r w:rsidRPr="00B53A09">
        <w:rPr>
          <w:noProof w:val="0"/>
          <w:rtl/>
        </w:rPr>
        <w:t xml:space="preserve">מנגד טוענת התובעת כי די בעובדות הנתמכות במסמכים שצירפה לכתב ההגנה, בכדי לדחות את התביעה. הנתבעת </w:t>
      </w:r>
      <w:r>
        <w:rPr>
          <w:rFonts w:hint="cs"/>
          <w:noProof w:val="0"/>
          <w:rtl/>
        </w:rPr>
        <w:t xml:space="preserve">הסתמכה על </w:t>
      </w:r>
      <w:r w:rsidRPr="00B53A09">
        <w:rPr>
          <w:noProof w:val="0"/>
          <w:rtl/>
        </w:rPr>
        <w:t>"</w:t>
      </w:r>
      <w:hyperlink r:id="rId14" w:history="1">
        <w:r w:rsidR="00DD0CF8" w:rsidRPr="00DD0CF8">
          <w:rPr>
            <w:noProof w:val="0"/>
            <w:color w:val="0000FF"/>
            <w:u w:val="single"/>
            <w:rtl/>
          </w:rPr>
          <w:t>תקנות הגנת הצרכן (ביטול עסקה)</w:t>
        </w:r>
      </w:hyperlink>
      <w:r w:rsidRPr="00B53A09">
        <w:rPr>
          <w:noProof w:val="0"/>
          <w:rtl/>
        </w:rPr>
        <w:t xml:space="preserve">, </w:t>
      </w:r>
      <w:proofErr w:type="spellStart"/>
      <w:r w:rsidRPr="00B53A09">
        <w:rPr>
          <w:noProof w:val="0"/>
          <w:rtl/>
        </w:rPr>
        <w:t>התשע"א</w:t>
      </w:r>
      <w:proofErr w:type="spellEnd"/>
      <w:r w:rsidRPr="00B53A09">
        <w:rPr>
          <w:noProof w:val="0"/>
          <w:rtl/>
        </w:rPr>
        <w:t xml:space="preserve"> – </w:t>
      </w:r>
      <w:proofErr w:type="spellStart"/>
      <w:r w:rsidRPr="00B53A09">
        <w:rPr>
          <w:noProof w:val="0"/>
          <w:rtl/>
        </w:rPr>
        <w:t>2010</w:t>
      </w:r>
      <w:proofErr w:type="spellEnd"/>
      <w:r w:rsidRPr="00B53A09">
        <w:rPr>
          <w:noProof w:val="0"/>
          <w:rtl/>
        </w:rPr>
        <w:t xml:space="preserve">" (להלן: </w:t>
      </w:r>
      <w:r w:rsidRPr="00B53A09">
        <w:rPr>
          <w:noProof w:val="0"/>
          <w:rtl/>
        </w:rPr>
        <w:lastRenderedPageBreak/>
        <w:t>"</w:t>
      </w:r>
      <w:r w:rsidRPr="00B53A09">
        <w:rPr>
          <w:b/>
          <w:bCs/>
          <w:noProof w:val="0"/>
          <w:rtl/>
        </w:rPr>
        <w:t>התקנות</w:t>
      </w:r>
      <w:r w:rsidRPr="00B53A09">
        <w:rPr>
          <w:noProof w:val="0"/>
          <w:rtl/>
        </w:rPr>
        <w:t xml:space="preserve">"), תוך שהיא מפנה </w:t>
      </w:r>
      <w:hyperlink r:id="rId15" w:history="1">
        <w:r w:rsidR="00893309" w:rsidRPr="00893309">
          <w:rPr>
            <w:noProof w:val="0"/>
            <w:color w:val="0000FF"/>
            <w:u w:val="single"/>
            <w:rtl/>
          </w:rPr>
          <w:t>לסעיף 2(3)</w:t>
        </w:r>
      </w:hyperlink>
      <w:r w:rsidRPr="00B53A09">
        <w:rPr>
          <w:noProof w:val="0"/>
          <w:rtl/>
        </w:rPr>
        <w:t xml:space="preserve"> שעניינו ביטול עסקה מהסוג שבנדון (ראה נספח ז' לכתב ההגנה).</w:t>
      </w:r>
    </w:p>
    <w:p w:rsidR="0094500F" w:rsidRPr="00B53A09" w:rsidRDefault="0094500F" w:rsidP="0094500F">
      <w:pPr>
        <w:keepNext/>
        <w:keepLines/>
        <w:spacing w:before="360" w:after="240"/>
        <w:outlineLvl w:val="0"/>
        <w:rPr>
          <w:b/>
          <w:bCs/>
          <w:noProof w:val="0"/>
          <w:rtl/>
        </w:rPr>
      </w:pPr>
      <w:r w:rsidRPr="00B53A09">
        <w:rPr>
          <w:b/>
          <w:bCs/>
          <w:noProof w:val="0"/>
          <w:rtl/>
        </w:rPr>
        <w:t>העובדות שהוכחו</w:t>
      </w:r>
    </w:p>
    <w:p w:rsidR="0094500F" w:rsidRPr="00B53A09" w:rsidRDefault="0094500F" w:rsidP="0094500F">
      <w:pPr>
        <w:numPr>
          <w:ilvl w:val="0"/>
          <w:numId w:val="1"/>
        </w:numPr>
        <w:spacing w:before="240" w:after="240" w:line="360" w:lineRule="auto"/>
        <w:ind w:left="363" w:hanging="357"/>
        <w:jc w:val="both"/>
        <w:rPr>
          <w:noProof w:val="0"/>
          <w:rtl/>
        </w:rPr>
      </w:pPr>
      <w:r w:rsidRPr="00B53A09">
        <w:rPr>
          <w:noProof w:val="0"/>
          <w:rtl/>
        </w:rPr>
        <w:t xml:space="preserve">בפני בית המשפט העידו התובעת ונציג הנתבעת, מר </w:t>
      </w:r>
      <w:proofErr w:type="spellStart"/>
      <w:r w:rsidRPr="00B53A09">
        <w:rPr>
          <w:noProof w:val="0"/>
          <w:rtl/>
        </w:rPr>
        <w:t>ורצברגר</w:t>
      </w:r>
      <w:proofErr w:type="spellEnd"/>
      <w:r w:rsidRPr="00B53A09">
        <w:rPr>
          <w:noProof w:val="0"/>
          <w:rtl/>
        </w:rPr>
        <w:t xml:space="preserve">. יוער כי נציגת הנתבעת שהחתימה את התובעת על מסמכי הרישום, לא הובאה לעדות (ראו פרוטוקול הדיון, עמוד 3, שורות 1 – 2). </w:t>
      </w:r>
    </w:p>
    <w:p w:rsidR="0094500F" w:rsidRPr="00B53A09" w:rsidRDefault="0094500F" w:rsidP="0094500F">
      <w:pPr>
        <w:numPr>
          <w:ilvl w:val="0"/>
          <w:numId w:val="3"/>
        </w:numPr>
        <w:spacing w:before="240" w:after="240" w:line="360" w:lineRule="auto"/>
        <w:ind w:left="363" w:hanging="357"/>
        <w:jc w:val="both"/>
        <w:rPr>
          <w:noProof w:val="0"/>
        </w:rPr>
      </w:pPr>
      <w:r w:rsidRPr="00B53A09">
        <w:rPr>
          <w:noProof w:val="0"/>
          <w:rtl/>
        </w:rPr>
        <w:t>ביום 10.10.16 חתמה התובעת</w:t>
      </w:r>
      <w:r>
        <w:rPr>
          <w:noProof w:val="0"/>
          <w:rtl/>
        </w:rPr>
        <w:t xml:space="preserve"> על טופס הרשמה לשנת הלימודים </w:t>
      </w:r>
      <w:r>
        <w:rPr>
          <w:rFonts w:hint="cs"/>
          <w:noProof w:val="0"/>
          <w:rtl/>
        </w:rPr>
        <w:t>ת</w:t>
      </w:r>
      <w:r w:rsidRPr="00B53A09">
        <w:rPr>
          <w:noProof w:val="0"/>
          <w:rtl/>
        </w:rPr>
        <w:t xml:space="preserve">שע"ז ללימודי אמנות משקמת במכללת </w:t>
      </w:r>
      <w:proofErr w:type="spellStart"/>
      <w:r w:rsidRPr="00B53A09">
        <w:rPr>
          <w:noProof w:val="0"/>
          <w:rtl/>
        </w:rPr>
        <w:t>ורצברגר</w:t>
      </w:r>
      <w:proofErr w:type="spellEnd"/>
      <w:r w:rsidRPr="00B53A09">
        <w:rPr>
          <w:noProof w:val="0"/>
          <w:rtl/>
        </w:rPr>
        <w:t xml:space="preserve">  (להלן: "</w:t>
      </w:r>
      <w:r w:rsidRPr="00B53A09">
        <w:rPr>
          <w:b/>
          <w:bCs/>
          <w:noProof w:val="0"/>
          <w:rtl/>
        </w:rPr>
        <w:t>טופס הרישום</w:t>
      </w:r>
      <w:r w:rsidRPr="00B53A09">
        <w:rPr>
          <w:noProof w:val="0"/>
          <w:rtl/>
        </w:rPr>
        <w:t>" ו "</w:t>
      </w:r>
      <w:r w:rsidRPr="00B53A09">
        <w:rPr>
          <w:b/>
          <w:bCs/>
          <w:noProof w:val="0"/>
          <w:rtl/>
        </w:rPr>
        <w:t>מכללה</w:t>
      </w:r>
      <w:r w:rsidRPr="00B53A09">
        <w:rPr>
          <w:noProof w:val="0"/>
          <w:rtl/>
        </w:rPr>
        <w:t xml:space="preserve">"). </w:t>
      </w:r>
    </w:p>
    <w:p w:rsidR="0094500F" w:rsidRPr="00B53A09" w:rsidRDefault="0094500F" w:rsidP="0094500F">
      <w:pPr>
        <w:numPr>
          <w:ilvl w:val="0"/>
          <w:numId w:val="3"/>
        </w:numPr>
        <w:spacing w:before="240" w:after="240" w:line="360" w:lineRule="auto"/>
        <w:ind w:left="363" w:hanging="357"/>
        <w:jc w:val="both"/>
        <w:rPr>
          <w:noProof w:val="0"/>
        </w:rPr>
      </w:pPr>
      <w:r w:rsidRPr="00B53A09">
        <w:rPr>
          <w:noProof w:val="0"/>
          <w:rtl/>
        </w:rPr>
        <w:t>מחיר הלימודים במסלול הוא 14,000 ₪. במעמד הרישום בוצע תשלום של 2,000 ₪ בעסקת אשראי. כנגד התשלום קיבלה התובעת ספח אשראי וחשבונית מס / קבלה. בגב הקבלה פורטו עיקרי התקנון של המכללה (להלן: "</w:t>
      </w:r>
      <w:r w:rsidRPr="00B53A09">
        <w:rPr>
          <w:b/>
          <w:bCs/>
          <w:noProof w:val="0"/>
          <w:rtl/>
        </w:rPr>
        <w:t>תקנון</w:t>
      </w:r>
      <w:r w:rsidRPr="00B53A09">
        <w:rPr>
          <w:noProof w:val="0"/>
          <w:rtl/>
        </w:rPr>
        <w:t>"). התובעת התחייבה, על גבי טופס הרישום, לבצע העברה בנקאית של יתרת הסכום בסך 12,000 ₪. ההתחייבות הוספה בכתב יד על גבי הטופס (ראו פרוטוקול הדיון, עמוד 2, שורות 17 – 20)</w:t>
      </w:r>
    </w:p>
    <w:p w:rsidR="0094500F" w:rsidRPr="00B53A09" w:rsidRDefault="0094500F" w:rsidP="0094500F">
      <w:pPr>
        <w:numPr>
          <w:ilvl w:val="0"/>
          <w:numId w:val="3"/>
        </w:numPr>
        <w:spacing w:before="240" w:after="240" w:line="360" w:lineRule="auto"/>
        <w:ind w:left="363" w:hanging="357"/>
        <w:jc w:val="both"/>
        <w:rPr>
          <w:noProof w:val="0"/>
        </w:rPr>
      </w:pPr>
      <w:r w:rsidRPr="00B53A09">
        <w:rPr>
          <w:noProof w:val="0"/>
          <w:rtl/>
        </w:rPr>
        <w:t xml:space="preserve">כמו כן, צוין בטופס הרישום כי היא נרשמת למסלול הדרכה באומנות משקמת. </w:t>
      </w:r>
      <w:r>
        <w:rPr>
          <w:rFonts w:hint="cs"/>
          <w:noProof w:val="0"/>
          <w:rtl/>
        </w:rPr>
        <w:t xml:space="preserve">בפועל נרשמה התובעת </w:t>
      </w:r>
      <w:r w:rsidRPr="00B53A09">
        <w:rPr>
          <w:noProof w:val="0"/>
          <w:rtl/>
        </w:rPr>
        <w:t>ל</w:t>
      </w:r>
      <w:r>
        <w:rPr>
          <w:rFonts w:hint="cs"/>
          <w:noProof w:val="0"/>
          <w:rtl/>
        </w:rPr>
        <w:t xml:space="preserve">שני </w:t>
      </w:r>
      <w:r>
        <w:rPr>
          <w:noProof w:val="0"/>
          <w:rtl/>
        </w:rPr>
        <w:t>קורסים</w:t>
      </w:r>
      <w:r>
        <w:rPr>
          <w:rFonts w:hint="cs"/>
          <w:noProof w:val="0"/>
          <w:rtl/>
        </w:rPr>
        <w:t xml:space="preserve">: </w:t>
      </w:r>
      <w:r w:rsidRPr="00B53A09">
        <w:rPr>
          <w:noProof w:val="0"/>
          <w:rtl/>
        </w:rPr>
        <w:t>צי</w:t>
      </w:r>
      <w:r>
        <w:rPr>
          <w:noProof w:val="0"/>
          <w:rtl/>
        </w:rPr>
        <w:t>ור ורישום הנפתח ביום 06.11.16 ו</w:t>
      </w:r>
      <w:r w:rsidRPr="00B53A09">
        <w:rPr>
          <w:noProof w:val="0"/>
          <w:rtl/>
        </w:rPr>
        <w:t xml:space="preserve">קורס פיסול </w:t>
      </w:r>
      <w:proofErr w:type="spellStart"/>
      <w:r w:rsidRPr="00B53A09">
        <w:rPr>
          <w:noProof w:val="0"/>
          <w:rtl/>
        </w:rPr>
        <w:t>קרמי</w:t>
      </w:r>
      <w:proofErr w:type="spellEnd"/>
      <w:r w:rsidRPr="00B53A09">
        <w:rPr>
          <w:noProof w:val="0"/>
          <w:rtl/>
        </w:rPr>
        <w:t xml:space="preserve"> הנפתח ביום 01.11.16. פרטי הקורסים הושלמו בכתב יד.</w:t>
      </w:r>
    </w:p>
    <w:p w:rsidR="0094500F" w:rsidRPr="00B53A09" w:rsidRDefault="0094500F" w:rsidP="0094500F">
      <w:pPr>
        <w:numPr>
          <w:ilvl w:val="0"/>
          <w:numId w:val="3"/>
        </w:numPr>
        <w:spacing w:before="240" w:after="240" w:line="360" w:lineRule="auto"/>
        <w:ind w:left="363" w:hanging="357"/>
        <w:jc w:val="both"/>
        <w:rPr>
          <w:noProof w:val="0"/>
        </w:rPr>
      </w:pPr>
      <w:r w:rsidRPr="00B53A09">
        <w:rPr>
          <w:noProof w:val="0"/>
          <w:rtl/>
        </w:rPr>
        <w:t>בסעיף ז(1) לתקנון נ</w:t>
      </w:r>
      <w:r>
        <w:rPr>
          <w:rFonts w:hint="cs"/>
          <w:noProof w:val="0"/>
          <w:rtl/>
        </w:rPr>
        <w:t>ק</w:t>
      </w:r>
      <w:r w:rsidRPr="00B53A09">
        <w:rPr>
          <w:noProof w:val="0"/>
          <w:rtl/>
        </w:rPr>
        <w:t>בע כי ביטול לימודים יעשה במכתב רשום בלבד, כאשר המועד הקובע הוא יום קבלת המכתב.</w:t>
      </w:r>
    </w:p>
    <w:p w:rsidR="0094500F" w:rsidRPr="00B53A09" w:rsidRDefault="0094500F" w:rsidP="0094500F">
      <w:pPr>
        <w:numPr>
          <w:ilvl w:val="0"/>
          <w:numId w:val="3"/>
        </w:numPr>
        <w:spacing w:before="240" w:after="240" w:line="360" w:lineRule="auto"/>
        <w:ind w:left="363" w:hanging="357"/>
        <w:jc w:val="both"/>
        <w:rPr>
          <w:noProof w:val="0"/>
        </w:rPr>
      </w:pPr>
      <w:r w:rsidRPr="00B53A09">
        <w:rPr>
          <w:noProof w:val="0"/>
          <w:rtl/>
        </w:rPr>
        <w:t xml:space="preserve"> בסעיף ז(6) לתקנון פורטו תנאי הביטול של הלימודים במסלול. התנאים קובעים כי ביטול הלימודים יעשה במכתב רשום בלבד כאשר המועד הקובע הוא יום קבלת המכתב (סעיף ז(1)). כמו כן</w:t>
      </w:r>
      <w:r>
        <w:rPr>
          <w:rFonts w:hint="cs"/>
          <w:noProof w:val="0"/>
          <w:rtl/>
        </w:rPr>
        <w:t>,</w:t>
      </w:r>
      <w:r w:rsidRPr="00B53A09">
        <w:rPr>
          <w:noProof w:val="0"/>
          <w:rtl/>
        </w:rPr>
        <w:t xml:space="preserve"> נקבע כי במידה ומכתב הביטול יתקבל פחות מ – 60 ימי עבודה לפני פתיחת המסלול, דמי הביטול יהיו בשיעור של 15% ממחיר המסלול בשלמותו. בנסיבות בהן מכתב הביטול יתקבל פחות מ 14 ימי עבודה לפני פתיחת המסלול, נקבעו דמי הביטול על 50% (סעיף ז(6)(ב) לתקנון. </w:t>
      </w:r>
      <w:r>
        <w:rPr>
          <w:rFonts w:hint="cs"/>
          <w:noProof w:val="0"/>
          <w:rtl/>
        </w:rPr>
        <w:t>ב</w:t>
      </w:r>
      <w:r w:rsidRPr="00B53A09">
        <w:rPr>
          <w:noProof w:val="0"/>
          <w:rtl/>
        </w:rPr>
        <w:t>תנאים אלה נקבע סייג ולפיו תנאי הביטול מחייבים את הסטודנט, אלא אם נקבע אחרת ב</w:t>
      </w:r>
      <w:hyperlink r:id="rId16" w:history="1">
        <w:r w:rsidR="00DD0CF8" w:rsidRPr="00DD0CF8">
          <w:rPr>
            <w:noProof w:val="0"/>
            <w:color w:val="0000FF"/>
            <w:u w:val="single"/>
            <w:rtl/>
          </w:rPr>
          <w:t>חוק הגנת הצרכן</w:t>
        </w:r>
      </w:hyperlink>
      <w:r w:rsidRPr="00B53A09">
        <w:rPr>
          <w:noProof w:val="0"/>
          <w:rtl/>
        </w:rPr>
        <w:t xml:space="preserve"> – תקנות ביטול עסקה (סעיף ז(6) לתקנון).</w:t>
      </w:r>
    </w:p>
    <w:p w:rsidR="0094500F" w:rsidRPr="00B53A09" w:rsidRDefault="0094500F" w:rsidP="0094500F">
      <w:pPr>
        <w:numPr>
          <w:ilvl w:val="0"/>
          <w:numId w:val="3"/>
        </w:numPr>
        <w:spacing w:before="240" w:after="240" w:line="360" w:lineRule="auto"/>
        <w:ind w:left="363" w:hanging="357"/>
        <w:jc w:val="both"/>
        <w:rPr>
          <w:noProof w:val="0"/>
        </w:rPr>
      </w:pPr>
      <w:r w:rsidRPr="00B53A09">
        <w:rPr>
          <w:noProof w:val="0"/>
          <w:rtl/>
        </w:rPr>
        <w:t>ביום 18.10.16 שלחה התובעת באמצעות חברת דואר ישראל, מעטפה בדואר רשום "מהיר בעיר". על לשונית המעטפה, מצידה הפנימי,  ציינה "</w:t>
      </w:r>
      <w:r w:rsidRPr="00B53A09">
        <w:rPr>
          <w:b/>
          <w:bCs/>
          <w:noProof w:val="0"/>
          <w:rtl/>
        </w:rPr>
        <w:t>נא לבטל תשלום!! תודה</w:t>
      </w:r>
      <w:r w:rsidRPr="00B53A09">
        <w:rPr>
          <w:noProof w:val="0"/>
          <w:rtl/>
        </w:rPr>
        <w:t>". בתוך המעטפה צרפה את ספח אשראי וחשבונית מס / קבלה שקיבלה בעת הרישום (ראו פרוטוקול הדיון, עמוד 2, שורות 11 – 14)</w:t>
      </w:r>
    </w:p>
    <w:p w:rsidR="0094500F" w:rsidRPr="00B53A09" w:rsidRDefault="0094500F" w:rsidP="0094500F">
      <w:pPr>
        <w:numPr>
          <w:ilvl w:val="0"/>
          <w:numId w:val="3"/>
        </w:numPr>
        <w:spacing w:before="240" w:after="240" w:line="360" w:lineRule="auto"/>
        <w:ind w:left="363" w:hanging="357"/>
        <w:jc w:val="both"/>
        <w:rPr>
          <w:noProof w:val="0"/>
        </w:rPr>
      </w:pPr>
      <w:r w:rsidRPr="00B53A09">
        <w:rPr>
          <w:noProof w:val="0"/>
          <w:rtl/>
        </w:rPr>
        <w:t xml:space="preserve">המכתב נמסר למכללה </w:t>
      </w:r>
      <w:r>
        <w:rPr>
          <w:rFonts w:hint="cs"/>
          <w:noProof w:val="0"/>
          <w:rtl/>
        </w:rPr>
        <w:t xml:space="preserve">באמצעות הדואר </w:t>
      </w:r>
      <w:r w:rsidRPr="00B53A09">
        <w:rPr>
          <w:noProof w:val="0"/>
          <w:rtl/>
        </w:rPr>
        <w:t>ביום 25.10.16.</w:t>
      </w:r>
    </w:p>
    <w:p w:rsidR="0094500F" w:rsidRPr="00B53A09" w:rsidRDefault="0094500F" w:rsidP="0094500F">
      <w:pPr>
        <w:numPr>
          <w:ilvl w:val="0"/>
          <w:numId w:val="3"/>
        </w:numPr>
        <w:spacing w:before="240" w:after="240" w:line="360" w:lineRule="auto"/>
        <w:ind w:left="363" w:hanging="357"/>
        <w:jc w:val="both"/>
        <w:rPr>
          <w:noProof w:val="0"/>
        </w:rPr>
      </w:pPr>
      <w:r w:rsidRPr="00B53A09">
        <w:rPr>
          <w:noProof w:val="0"/>
          <w:rtl/>
        </w:rPr>
        <w:lastRenderedPageBreak/>
        <w:t xml:space="preserve">ביום 31.10.16 קיבלה התובעת מסרון המזכיר לה על פתיחת קורס פיסול </w:t>
      </w:r>
      <w:proofErr w:type="spellStart"/>
      <w:r w:rsidRPr="00B53A09">
        <w:rPr>
          <w:noProof w:val="0"/>
          <w:rtl/>
        </w:rPr>
        <w:t>קרמי</w:t>
      </w:r>
      <w:proofErr w:type="spellEnd"/>
      <w:r w:rsidRPr="00B53A09">
        <w:rPr>
          <w:noProof w:val="0"/>
          <w:rtl/>
        </w:rPr>
        <w:t>. ביום 06.11.16 קיבלה מסרון תזכורת על פתיחת קורס הציור והרישום (ראו פרוטוקול הדיון, עמוד 2, שורות 27 – 28).</w:t>
      </w:r>
    </w:p>
    <w:p w:rsidR="0094500F" w:rsidRPr="00B53A09" w:rsidRDefault="0094500F" w:rsidP="0094500F">
      <w:pPr>
        <w:keepNext/>
        <w:keepLines/>
        <w:spacing w:before="360" w:after="240"/>
        <w:outlineLvl w:val="0"/>
        <w:rPr>
          <w:b/>
          <w:bCs/>
          <w:noProof w:val="0"/>
          <w:rtl/>
        </w:rPr>
      </w:pPr>
      <w:r w:rsidRPr="00B53A09">
        <w:rPr>
          <w:b/>
          <w:bCs/>
          <w:noProof w:val="0"/>
          <w:rtl/>
        </w:rPr>
        <w:t>דיון והכרעה</w:t>
      </w:r>
    </w:p>
    <w:p w:rsidR="0094500F" w:rsidRPr="00B53A09" w:rsidRDefault="0094500F" w:rsidP="0094500F">
      <w:pPr>
        <w:numPr>
          <w:ilvl w:val="0"/>
          <w:numId w:val="3"/>
        </w:numPr>
        <w:spacing w:before="240" w:after="240" w:line="360" w:lineRule="auto"/>
        <w:ind w:left="363" w:hanging="357"/>
        <w:jc w:val="both"/>
        <w:rPr>
          <w:noProof w:val="0"/>
        </w:rPr>
      </w:pPr>
      <w:r w:rsidRPr="00B53A09">
        <w:rPr>
          <w:noProof w:val="0"/>
          <w:rtl/>
        </w:rPr>
        <w:t>המחלוקת שבפני מתמקדת בשאלה האם רשאית התובעת לדרוש את ביטול העסקה.</w:t>
      </w:r>
    </w:p>
    <w:p w:rsidR="0094500F" w:rsidRPr="00B53A09" w:rsidRDefault="0094500F" w:rsidP="0094500F">
      <w:pPr>
        <w:spacing w:before="240" w:after="240" w:line="360" w:lineRule="auto"/>
        <w:jc w:val="both"/>
        <w:rPr>
          <w:noProof w:val="0"/>
          <w:u w:val="single"/>
        </w:rPr>
      </w:pPr>
      <w:r w:rsidRPr="00B53A09">
        <w:rPr>
          <w:noProof w:val="0"/>
          <w:u w:val="single"/>
          <w:rtl/>
        </w:rPr>
        <w:t>המסגרת הנורמטיבית</w:t>
      </w:r>
    </w:p>
    <w:p w:rsidR="0094500F" w:rsidRPr="00B53A09" w:rsidRDefault="0094500F" w:rsidP="0094500F">
      <w:pPr>
        <w:numPr>
          <w:ilvl w:val="0"/>
          <w:numId w:val="3"/>
        </w:numPr>
        <w:spacing w:before="240" w:after="240" w:line="360" w:lineRule="auto"/>
        <w:ind w:left="363" w:hanging="357"/>
        <w:jc w:val="both"/>
        <w:rPr>
          <w:noProof w:val="0"/>
        </w:rPr>
      </w:pPr>
      <w:r w:rsidRPr="00B53A09">
        <w:rPr>
          <w:noProof w:val="0"/>
          <w:rtl/>
        </w:rPr>
        <w:t xml:space="preserve">כאמור, סעיף ז(6) לתקנון מכפיף את תנאי הביטול לתקנות. </w:t>
      </w:r>
      <w:hyperlink r:id="rId17" w:history="1">
        <w:r w:rsidR="00893309" w:rsidRPr="00893309">
          <w:rPr>
            <w:noProof w:val="0"/>
            <w:color w:val="0000FF"/>
            <w:u w:val="single"/>
            <w:rtl/>
          </w:rPr>
          <w:t>בסעיף 2(3)</w:t>
        </w:r>
      </w:hyperlink>
      <w:r w:rsidRPr="00B53A09">
        <w:rPr>
          <w:noProof w:val="0"/>
          <w:rtl/>
        </w:rPr>
        <w:t xml:space="preserve"> לתקנות נקבע</w:t>
      </w:r>
      <w:r>
        <w:rPr>
          <w:rFonts w:hint="cs"/>
          <w:noProof w:val="0"/>
          <w:rtl/>
        </w:rPr>
        <w:t xml:space="preserve"> כי צרכן רשאי לבטל הסכם בנסיבות כדלקמן : </w:t>
      </w:r>
    </w:p>
    <w:p w:rsidR="0094500F" w:rsidRPr="00B53A09" w:rsidRDefault="0094500F" w:rsidP="0094500F">
      <w:pPr>
        <w:spacing w:after="160" w:line="259" w:lineRule="auto"/>
        <w:ind w:left="1269" w:right="709" w:hanging="426"/>
        <w:jc w:val="both"/>
        <w:rPr>
          <w:b/>
          <w:bCs/>
          <w:noProof w:val="0"/>
          <w:rtl/>
        </w:rPr>
      </w:pPr>
      <w:r w:rsidRPr="00B53A09">
        <w:rPr>
          <w:b/>
          <w:bCs/>
          <w:noProof w:val="0"/>
          <w:rtl/>
        </w:rPr>
        <w:t xml:space="preserve"> (3)</w:t>
      </w:r>
      <w:r w:rsidRPr="00B53A09">
        <w:rPr>
          <w:b/>
          <w:bCs/>
          <w:noProof w:val="0"/>
          <w:rtl/>
        </w:rPr>
        <w:tab/>
        <w:t>לרכישת שירות כאמור בפרט 8 ו-9 לתוספת – בתוך 14 ימים מיום עשיית ההסכם ובלבד שהביטול ייעשה 14 ימים שאינם ימי מנוחה לפחות, קודם למועד תחילת השירות;</w:t>
      </w:r>
    </w:p>
    <w:p w:rsidR="0094500F" w:rsidRPr="00B53A09" w:rsidRDefault="008022AB" w:rsidP="0094500F">
      <w:pPr>
        <w:spacing w:before="240" w:after="240" w:line="360" w:lineRule="auto"/>
        <w:ind w:left="418"/>
        <w:jc w:val="both"/>
        <w:rPr>
          <w:noProof w:val="0"/>
        </w:rPr>
      </w:pPr>
      <w:hyperlink r:id="rId18" w:history="1">
        <w:r w:rsidR="00893309" w:rsidRPr="00893309">
          <w:rPr>
            <w:rStyle w:val="Hyperlink"/>
            <w:noProof w:val="0"/>
            <w:color w:val="0000FF"/>
            <w:rtl/>
          </w:rPr>
          <w:t>ובסעיף 9 לתוספת</w:t>
        </w:r>
      </w:hyperlink>
      <w:r w:rsidR="0094500F" w:rsidRPr="00B53A09">
        <w:rPr>
          <w:noProof w:val="0"/>
          <w:rtl/>
        </w:rPr>
        <w:t xml:space="preserve"> נקבע:</w:t>
      </w:r>
    </w:p>
    <w:p w:rsidR="0094500F" w:rsidRPr="00B53A09" w:rsidRDefault="0094500F" w:rsidP="0094500F">
      <w:pPr>
        <w:spacing w:after="160" w:line="259" w:lineRule="auto"/>
        <w:ind w:left="1269" w:right="709" w:hanging="426"/>
        <w:jc w:val="both"/>
        <w:rPr>
          <w:b/>
          <w:bCs/>
          <w:noProof w:val="0"/>
          <w:rtl/>
        </w:rPr>
      </w:pPr>
      <w:r w:rsidRPr="00B53A09">
        <w:rPr>
          <w:b/>
          <w:bCs/>
          <w:noProof w:val="0"/>
          <w:rtl/>
        </w:rPr>
        <w:t>(9)</w:t>
      </w:r>
      <w:r w:rsidRPr="00B53A09">
        <w:rPr>
          <w:b/>
          <w:bCs/>
          <w:noProof w:val="0"/>
          <w:rtl/>
        </w:rPr>
        <w:tab/>
        <w:t>חוגים וקורסים למעט קורס כהגדרתו ב</w:t>
      </w:r>
      <w:hyperlink r:id="rId19" w:history="1">
        <w:r w:rsidR="00DD0CF8" w:rsidRPr="00DD0CF8">
          <w:rPr>
            <w:b/>
            <w:bCs/>
            <w:noProof w:val="0"/>
            <w:color w:val="0000FF"/>
            <w:u w:val="single"/>
            <w:rtl/>
          </w:rPr>
          <w:t>חוק הפיקוח על מכונים פסיכומטריים</w:t>
        </w:r>
      </w:hyperlink>
      <w:r w:rsidRPr="00B53A09">
        <w:rPr>
          <w:b/>
          <w:bCs/>
          <w:noProof w:val="0"/>
          <w:rtl/>
        </w:rPr>
        <w:t xml:space="preserve">, </w:t>
      </w:r>
      <w:proofErr w:type="spellStart"/>
      <w:r w:rsidRPr="00B53A09">
        <w:rPr>
          <w:b/>
          <w:bCs/>
          <w:noProof w:val="0"/>
          <w:rtl/>
        </w:rPr>
        <w:t>התשס"ט</w:t>
      </w:r>
      <w:proofErr w:type="spellEnd"/>
      <w:r w:rsidRPr="00B53A09">
        <w:rPr>
          <w:b/>
          <w:bCs/>
          <w:noProof w:val="0"/>
          <w:rtl/>
        </w:rPr>
        <w:t>-2008;</w:t>
      </w:r>
    </w:p>
    <w:p w:rsidR="0094500F" w:rsidRPr="00B53A09" w:rsidRDefault="0094500F" w:rsidP="0094500F">
      <w:pPr>
        <w:numPr>
          <w:ilvl w:val="0"/>
          <w:numId w:val="3"/>
        </w:numPr>
        <w:spacing w:before="240" w:after="240" w:line="360" w:lineRule="auto"/>
        <w:ind w:left="363" w:hanging="357"/>
        <w:jc w:val="both"/>
        <w:rPr>
          <w:noProof w:val="0"/>
        </w:rPr>
      </w:pPr>
      <w:r w:rsidRPr="00B53A09">
        <w:rPr>
          <w:noProof w:val="0"/>
          <w:rtl/>
        </w:rPr>
        <w:t xml:space="preserve">מכאן כי על מנת שהתובעת תהיה ראשית לבטל את העסקה, עליה לעמוד בשתי דרישות. ראשית, עליה להודיע על הביטול בתוך 14 ימים מיום עשיית ההסכם. שנית, יש לעשות את הביטול 14 ימים שאינם ימי מנוחה לפחות, קודם לתחילת השירות. </w:t>
      </w:r>
    </w:p>
    <w:p w:rsidR="0094500F" w:rsidRPr="00B53A09" w:rsidRDefault="0094500F" w:rsidP="0094500F">
      <w:pPr>
        <w:numPr>
          <w:ilvl w:val="0"/>
          <w:numId w:val="3"/>
        </w:numPr>
        <w:spacing w:before="240" w:after="240" w:line="360" w:lineRule="auto"/>
        <w:ind w:left="363" w:hanging="357"/>
        <w:jc w:val="both"/>
        <w:rPr>
          <w:noProof w:val="0"/>
        </w:rPr>
      </w:pPr>
      <w:r w:rsidRPr="00B53A09">
        <w:rPr>
          <w:noProof w:val="0"/>
          <w:rtl/>
        </w:rPr>
        <w:t xml:space="preserve">באשר ליישום הוראות </w:t>
      </w:r>
      <w:hyperlink r:id="rId20" w:history="1">
        <w:r w:rsidR="00893309" w:rsidRPr="00893309">
          <w:rPr>
            <w:rStyle w:val="Hyperlink"/>
            <w:noProof w:val="0"/>
            <w:color w:val="0000FF"/>
            <w:rtl/>
          </w:rPr>
          <w:t>סעיף 2(3)</w:t>
        </w:r>
      </w:hyperlink>
      <w:r w:rsidRPr="00B53A09">
        <w:rPr>
          <w:noProof w:val="0"/>
          <w:rtl/>
        </w:rPr>
        <w:t xml:space="preserve"> לתקנות, בנסיבות בהם הרישום ללימודים מבוצע </w:t>
      </w:r>
      <w:r>
        <w:rPr>
          <w:rFonts w:hint="cs"/>
          <w:noProof w:val="0"/>
          <w:rtl/>
        </w:rPr>
        <w:t xml:space="preserve">הוא רישום מאוחר, המתבצע </w:t>
      </w:r>
      <w:r>
        <w:rPr>
          <w:noProof w:val="0"/>
          <w:rtl/>
        </w:rPr>
        <w:t>בסמיכות זמנים למועד תחילת</w:t>
      </w:r>
      <w:r>
        <w:rPr>
          <w:rFonts w:hint="cs"/>
          <w:noProof w:val="0"/>
          <w:rtl/>
        </w:rPr>
        <w:t xml:space="preserve"> הלימודים</w:t>
      </w:r>
      <w:r w:rsidRPr="00B53A09">
        <w:rPr>
          <w:noProof w:val="0"/>
          <w:rtl/>
        </w:rPr>
        <w:t>, אפנה לפסיקה הקיימת.</w:t>
      </w:r>
    </w:p>
    <w:p w:rsidR="0094500F" w:rsidRPr="00B53A09" w:rsidRDefault="0094500F" w:rsidP="0094500F">
      <w:pPr>
        <w:spacing w:before="240" w:after="240" w:line="360" w:lineRule="auto"/>
        <w:ind w:left="418" w:firstLine="302"/>
        <w:jc w:val="both"/>
        <w:rPr>
          <w:noProof w:val="0"/>
          <w:rtl/>
        </w:rPr>
      </w:pPr>
      <w:r w:rsidRPr="00B53A09">
        <w:rPr>
          <w:noProof w:val="0"/>
          <w:rtl/>
        </w:rPr>
        <w:t xml:space="preserve">נפסק כי כאשר העסקה נעשתה בפרק הזמן של 14 הימים שטרם תחילת הביצוע שלה, יש לפרש כי אין תחולה למגבלת הימים שלפני תחילת ביצוע העסקה הקבועה </w:t>
      </w:r>
      <w:hyperlink r:id="rId21" w:history="1">
        <w:r w:rsidR="00893309" w:rsidRPr="00893309">
          <w:rPr>
            <w:rStyle w:val="Hyperlink"/>
            <w:noProof w:val="0"/>
            <w:color w:val="0000FF"/>
            <w:rtl/>
          </w:rPr>
          <w:t>בתקנה 2(3)</w:t>
        </w:r>
      </w:hyperlink>
      <w:r w:rsidRPr="00B53A09">
        <w:rPr>
          <w:noProof w:val="0"/>
          <w:rtl/>
        </w:rPr>
        <w:t xml:space="preserve"> לתקנות. לחילופין </w:t>
      </w:r>
      <w:r>
        <w:rPr>
          <w:rFonts w:hint="cs"/>
          <w:noProof w:val="0"/>
          <w:rtl/>
        </w:rPr>
        <w:t>,</w:t>
      </w:r>
      <w:r w:rsidRPr="00B53A09">
        <w:rPr>
          <w:noProof w:val="0"/>
          <w:rtl/>
        </w:rPr>
        <w:t xml:space="preserve">יש לקבוע כי חלף התקופה של 14 ימים, יש לאפשר ביטול בתוך זמן סביר, שיכול ויפחת מ-14 הימים הנתונים במקרה הרגיל. תקופה זו תיקבע על ידי בית המשפט בנסיבות כל מקרה לגופו. ראו והשוו </w:t>
      </w:r>
      <w:hyperlink r:id="rId22" w:history="1">
        <w:r w:rsidR="00DD0CF8" w:rsidRPr="00DD0CF8">
          <w:rPr>
            <w:noProof w:val="0"/>
            <w:color w:val="0000FF"/>
            <w:u w:val="single"/>
            <w:rtl/>
          </w:rPr>
          <w:t>ת"ק (תביעות קטנות קריות) 35654-05-16</w:t>
        </w:r>
      </w:hyperlink>
      <w:r w:rsidRPr="00B53A09">
        <w:rPr>
          <w:noProof w:val="0"/>
          <w:rtl/>
        </w:rPr>
        <w:t xml:space="preserve"> </w:t>
      </w:r>
      <w:r w:rsidRPr="00B53A09">
        <w:rPr>
          <w:b/>
          <w:bCs/>
          <w:noProof w:val="0"/>
          <w:rtl/>
        </w:rPr>
        <w:t xml:space="preserve">אולגה </w:t>
      </w:r>
      <w:proofErr w:type="spellStart"/>
      <w:r w:rsidRPr="00B53A09">
        <w:rPr>
          <w:b/>
          <w:bCs/>
          <w:noProof w:val="0"/>
          <w:rtl/>
        </w:rPr>
        <w:t>שלאומוב</w:t>
      </w:r>
      <w:proofErr w:type="spellEnd"/>
      <w:r w:rsidRPr="00B53A09">
        <w:rPr>
          <w:b/>
          <w:bCs/>
          <w:noProof w:val="0"/>
          <w:rtl/>
        </w:rPr>
        <w:t xml:space="preserve"> נ' גימנסיה - בתי ספר תיכוניים ע"ש </w:t>
      </w:r>
      <w:proofErr w:type="spellStart"/>
      <w:r w:rsidRPr="00B53A09">
        <w:rPr>
          <w:b/>
          <w:bCs/>
          <w:noProof w:val="0"/>
          <w:rtl/>
        </w:rPr>
        <w:t>גולדנר</w:t>
      </w:r>
      <w:proofErr w:type="spellEnd"/>
      <w:r w:rsidRPr="00B53A09">
        <w:rPr>
          <w:b/>
          <w:bCs/>
          <w:noProof w:val="0"/>
          <w:rtl/>
        </w:rPr>
        <w:t xml:space="preserve"> בע"מ</w:t>
      </w:r>
      <w:r w:rsidRPr="00B53A09">
        <w:rPr>
          <w:noProof w:val="0"/>
          <w:rtl/>
        </w:rPr>
        <w:t xml:space="preserve"> (02.09.2016). </w:t>
      </w:r>
    </w:p>
    <w:p w:rsidR="0094500F" w:rsidRPr="00B53A09" w:rsidRDefault="0094500F" w:rsidP="0094500F">
      <w:pPr>
        <w:spacing w:before="240" w:after="240" w:line="360" w:lineRule="auto"/>
        <w:ind w:left="418" w:firstLine="302"/>
        <w:jc w:val="both"/>
        <w:rPr>
          <w:noProof w:val="0"/>
          <w:rtl/>
        </w:rPr>
      </w:pPr>
      <w:r w:rsidRPr="00B53A09">
        <w:rPr>
          <w:noProof w:val="0"/>
          <w:rtl/>
        </w:rPr>
        <w:t xml:space="preserve">במקרה נוסף בו נשללה האפשרות לעשות שימוש בתקנות, נפסק כי התנהלותה של הנתבעת </w:t>
      </w:r>
      <w:r>
        <w:rPr>
          <w:rFonts w:hint="cs"/>
          <w:noProof w:val="0"/>
          <w:rtl/>
        </w:rPr>
        <w:t xml:space="preserve">סיכלה </w:t>
      </w:r>
      <w:r w:rsidRPr="00B53A09">
        <w:rPr>
          <w:noProof w:val="0"/>
          <w:rtl/>
        </w:rPr>
        <w:t>את המטרה שבבסיס התקנות</w:t>
      </w:r>
      <w:r>
        <w:rPr>
          <w:rFonts w:hint="cs"/>
          <w:noProof w:val="0"/>
          <w:rtl/>
        </w:rPr>
        <w:t>,</w:t>
      </w:r>
      <w:r w:rsidRPr="00B53A09">
        <w:rPr>
          <w:noProof w:val="0"/>
          <w:rtl/>
        </w:rPr>
        <w:t xml:space="preserve"> ועל כן עליה להשיב את שכר הלימוד. ראו והשוו </w:t>
      </w:r>
      <w:hyperlink r:id="rId23" w:history="1">
        <w:r w:rsidR="00DD0CF8" w:rsidRPr="00DD0CF8">
          <w:rPr>
            <w:noProof w:val="0"/>
            <w:color w:val="0000FF"/>
            <w:u w:val="single"/>
            <w:rtl/>
          </w:rPr>
          <w:t>ת"ק (תביעות קטנות כ"ס) 20047-11-15</w:t>
        </w:r>
      </w:hyperlink>
      <w:r w:rsidRPr="00B53A09">
        <w:rPr>
          <w:noProof w:val="0"/>
          <w:rtl/>
        </w:rPr>
        <w:t xml:space="preserve"> </w:t>
      </w:r>
      <w:r w:rsidRPr="00B53A09">
        <w:rPr>
          <w:b/>
          <w:bCs/>
          <w:noProof w:val="0"/>
          <w:rtl/>
        </w:rPr>
        <w:t>ענבר נוי נ' קבוצת קידום בע"מ</w:t>
      </w:r>
      <w:r w:rsidRPr="00B53A09">
        <w:rPr>
          <w:noProof w:val="0"/>
          <w:rtl/>
        </w:rPr>
        <w:t xml:space="preserve"> (פורסם בנבו, 06.04.2016).</w:t>
      </w:r>
    </w:p>
    <w:p w:rsidR="0094500F" w:rsidRDefault="0094500F" w:rsidP="0094500F">
      <w:pPr>
        <w:spacing w:before="240" w:after="240" w:line="360" w:lineRule="auto"/>
        <w:ind w:left="418" w:firstLine="302"/>
        <w:jc w:val="both"/>
        <w:rPr>
          <w:noProof w:val="0"/>
          <w:rtl/>
        </w:rPr>
      </w:pPr>
      <w:r w:rsidRPr="00B53A09">
        <w:rPr>
          <w:noProof w:val="0"/>
          <w:rtl/>
        </w:rPr>
        <w:t xml:space="preserve">במקרה אחר נפסק כי כאשר הרישום ללימודים מבוצע בסמוך למועד תחילתם, יש להבהיר לנרשם כי הוא לא יזכה להגנה הקבועה בתקנות. משהדבר לא נעשה, יש בכך משום הטעיה ועל </w:t>
      </w:r>
      <w:r w:rsidRPr="00B53A09">
        <w:rPr>
          <w:noProof w:val="0"/>
          <w:rtl/>
        </w:rPr>
        <w:lastRenderedPageBreak/>
        <w:t xml:space="preserve">כן החוזה בטל. ראו והשוו </w:t>
      </w:r>
      <w:hyperlink r:id="rId24" w:history="1">
        <w:r w:rsidR="00DD0CF8" w:rsidRPr="00DD0CF8">
          <w:rPr>
            <w:noProof w:val="0"/>
            <w:color w:val="0000FF"/>
            <w:u w:val="single"/>
            <w:rtl/>
          </w:rPr>
          <w:t>ת"ק (תביעות קטנות ת"א) 40728-09-15</w:t>
        </w:r>
      </w:hyperlink>
      <w:r w:rsidRPr="00B53A09">
        <w:rPr>
          <w:noProof w:val="0"/>
          <w:rtl/>
        </w:rPr>
        <w:t xml:space="preserve"> </w:t>
      </w:r>
      <w:r w:rsidRPr="00B53A09">
        <w:rPr>
          <w:b/>
          <w:bCs/>
          <w:noProof w:val="0"/>
          <w:rtl/>
        </w:rPr>
        <w:t xml:space="preserve">טל עדיני נ' </w:t>
      </w:r>
      <w:r w:rsidRPr="00B53A09">
        <w:rPr>
          <w:b/>
          <w:bCs/>
          <w:noProof w:val="0"/>
        </w:rPr>
        <w:t>wall street</w:t>
      </w:r>
      <w:r w:rsidRPr="00B53A09">
        <w:rPr>
          <w:b/>
          <w:bCs/>
          <w:noProof w:val="0"/>
          <w:rtl/>
        </w:rPr>
        <w:t xml:space="preserve"> מבית קבוצת קידום בע"מ</w:t>
      </w:r>
      <w:r w:rsidRPr="00B53A09">
        <w:rPr>
          <w:noProof w:val="0"/>
          <w:rtl/>
        </w:rPr>
        <w:t xml:space="preserve"> (28.07.2016). </w:t>
      </w:r>
    </w:p>
    <w:p w:rsidR="0094500F" w:rsidRPr="00B53A09" w:rsidRDefault="0094500F" w:rsidP="0094500F">
      <w:pPr>
        <w:spacing w:before="240" w:after="240" w:line="360" w:lineRule="auto"/>
        <w:ind w:left="418" w:firstLine="302"/>
        <w:jc w:val="both"/>
        <w:rPr>
          <w:noProof w:val="0"/>
          <w:rtl/>
        </w:rPr>
      </w:pPr>
    </w:p>
    <w:p w:rsidR="0094500F" w:rsidRPr="00B53A09" w:rsidRDefault="0094500F" w:rsidP="0094500F">
      <w:pPr>
        <w:spacing w:before="240" w:after="240" w:line="360" w:lineRule="auto"/>
        <w:jc w:val="both"/>
        <w:rPr>
          <w:noProof w:val="0"/>
          <w:u w:val="single"/>
        </w:rPr>
      </w:pPr>
      <w:r w:rsidRPr="00B53A09">
        <w:rPr>
          <w:noProof w:val="0"/>
          <w:u w:val="single"/>
          <w:rtl/>
        </w:rPr>
        <w:t>מהכלל את הפרט</w:t>
      </w:r>
    </w:p>
    <w:p w:rsidR="0094500F" w:rsidRPr="00B53A09" w:rsidRDefault="0094500F" w:rsidP="0094500F">
      <w:pPr>
        <w:numPr>
          <w:ilvl w:val="0"/>
          <w:numId w:val="3"/>
        </w:numPr>
        <w:spacing w:before="240" w:after="240" w:line="360" w:lineRule="auto"/>
        <w:ind w:left="363" w:hanging="357"/>
        <w:jc w:val="both"/>
        <w:rPr>
          <w:noProof w:val="0"/>
        </w:rPr>
      </w:pPr>
      <w:r w:rsidRPr="00B53A09">
        <w:rPr>
          <w:noProof w:val="0"/>
          <w:rtl/>
        </w:rPr>
        <w:t>התאריכים הנדרשים לעניינו:</w:t>
      </w:r>
    </w:p>
    <w:p w:rsidR="0094500F" w:rsidRPr="00B53A09" w:rsidRDefault="0094500F" w:rsidP="0094500F">
      <w:pPr>
        <w:numPr>
          <w:ilvl w:val="1"/>
          <w:numId w:val="3"/>
        </w:numPr>
        <w:spacing w:before="120" w:after="120" w:line="360" w:lineRule="auto"/>
        <w:ind w:left="697" w:hanging="357"/>
        <w:contextualSpacing/>
        <w:jc w:val="both"/>
        <w:rPr>
          <w:noProof w:val="0"/>
        </w:rPr>
      </w:pPr>
      <w:r w:rsidRPr="00B53A09">
        <w:rPr>
          <w:noProof w:val="0"/>
          <w:rtl/>
        </w:rPr>
        <w:t>העסקה בוצעה ביום 10.10.16.</w:t>
      </w:r>
    </w:p>
    <w:p w:rsidR="0094500F" w:rsidRPr="00B53A09" w:rsidRDefault="0094500F" w:rsidP="0094500F">
      <w:pPr>
        <w:numPr>
          <w:ilvl w:val="1"/>
          <w:numId w:val="3"/>
        </w:numPr>
        <w:spacing w:before="120" w:after="120" w:line="360" w:lineRule="auto"/>
        <w:ind w:left="697" w:hanging="357"/>
        <w:contextualSpacing/>
        <w:jc w:val="both"/>
        <w:rPr>
          <w:noProof w:val="0"/>
        </w:rPr>
      </w:pPr>
      <w:r w:rsidRPr="00B53A09">
        <w:rPr>
          <w:noProof w:val="0"/>
          <w:rtl/>
        </w:rPr>
        <w:t>המכתב נשלח ביום 18.10.16.</w:t>
      </w:r>
    </w:p>
    <w:p w:rsidR="0094500F" w:rsidRPr="00B53A09" w:rsidRDefault="0094500F" w:rsidP="0094500F">
      <w:pPr>
        <w:numPr>
          <w:ilvl w:val="1"/>
          <w:numId w:val="3"/>
        </w:numPr>
        <w:spacing w:before="120" w:after="120" w:line="360" w:lineRule="auto"/>
        <w:ind w:left="697" w:hanging="357"/>
        <w:contextualSpacing/>
        <w:jc w:val="both"/>
        <w:rPr>
          <w:noProof w:val="0"/>
        </w:rPr>
      </w:pPr>
      <w:r w:rsidRPr="00B53A09">
        <w:rPr>
          <w:noProof w:val="0"/>
          <w:rtl/>
        </w:rPr>
        <w:t>המכתב נמסר לנתבעת ביום 25.10.16.</w:t>
      </w:r>
    </w:p>
    <w:p w:rsidR="0094500F" w:rsidRPr="00B53A09" w:rsidRDefault="008022AB" w:rsidP="0094500F">
      <w:pPr>
        <w:numPr>
          <w:ilvl w:val="0"/>
          <w:numId w:val="3"/>
        </w:numPr>
        <w:spacing w:before="240" w:after="240" w:line="360" w:lineRule="auto"/>
        <w:ind w:left="363" w:hanging="357"/>
        <w:jc w:val="both"/>
        <w:rPr>
          <w:noProof w:val="0"/>
          <w:rtl/>
        </w:rPr>
      </w:pPr>
      <w:hyperlink r:id="rId25" w:history="1">
        <w:r w:rsidR="00893309" w:rsidRPr="00893309">
          <w:rPr>
            <w:rStyle w:val="Hyperlink"/>
            <w:noProof w:val="0"/>
            <w:color w:val="0000FF"/>
            <w:rtl/>
          </w:rPr>
          <w:t>בסעיף 10</w:t>
        </w:r>
      </w:hyperlink>
      <w:r w:rsidR="0094500F" w:rsidRPr="00B53A09">
        <w:rPr>
          <w:noProof w:val="0"/>
          <w:rtl/>
        </w:rPr>
        <w:t xml:space="preserve"> ל</w:t>
      </w:r>
      <w:hyperlink r:id="rId26" w:history="1">
        <w:r w:rsidR="00DD0CF8" w:rsidRPr="00DD0CF8">
          <w:rPr>
            <w:noProof w:val="0"/>
            <w:color w:val="0000FF"/>
            <w:u w:val="single"/>
            <w:rtl/>
          </w:rPr>
          <w:t>חוק הפרשנות</w:t>
        </w:r>
      </w:hyperlink>
      <w:r w:rsidR="0094500F" w:rsidRPr="00B53A09">
        <w:rPr>
          <w:noProof w:val="0"/>
          <w:rtl/>
        </w:rPr>
        <w:t xml:space="preserve">, </w:t>
      </w:r>
      <w:proofErr w:type="spellStart"/>
      <w:r w:rsidR="0094500F" w:rsidRPr="00B53A09">
        <w:rPr>
          <w:noProof w:val="0"/>
          <w:rtl/>
        </w:rPr>
        <w:t>התשמ"א</w:t>
      </w:r>
      <w:proofErr w:type="spellEnd"/>
      <w:r w:rsidR="0094500F" w:rsidRPr="00B53A09">
        <w:rPr>
          <w:noProof w:val="0"/>
          <w:rtl/>
        </w:rPr>
        <w:t>-1981 נקבע:</w:t>
      </w:r>
    </w:p>
    <w:p w:rsidR="0094500F" w:rsidRPr="00B53A09" w:rsidRDefault="0094500F" w:rsidP="0094500F">
      <w:pPr>
        <w:spacing w:after="160" w:line="259" w:lineRule="auto"/>
        <w:ind w:left="1269" w:right="709" w:hanging="426"/>
        <w:jc w:val="both"/>
        <w:rPr>
          <w:b/>
          <w:bCs/>
          <w:noProof w:val="0"/>
          <w:rtl/>
        </w:rPr>
      </w:pPr>
      <w:r w:rsidRPr="00B53A09">
        <w:rPr>
          <w:b/>
          <w:bCs/>
          <w:noProof w:val="0"/>
          <w:rtl/>
        </w:rPr>
        <w:t>(א)</w:t>
      </w:r>
      <w:r w:rsidRPr="00B53A09">
        <w:rPr>
          <w:b/>
          <w:bCs/>
          <w:noProof w:val="0"/>
          <w:rtl/>
        </w:rPr>
        <w:tab/>
        <w:t xml:space="preserve">מקום שנקבעה תקופה קצובה במספר ימים או שבועות מיום פלוני, אותו יום לא יבוא </w:t>
      </w:r>
      <w:proofErr w:type="spellStart"/>
      <w:r w:rsidRPr="00B53A09">
        <w:rPr>
          <w:b/>
          <w:bCs/>
          <w:noProof w:val="0"/>
          <w:rtl/>
        </w:rPr>
        <w:t>במנין</w:t>
      </w:r>
      <w:proofErr w:type="spellEnd"/>
      <w:r w:rsidRPr="00B53A09">
        <w:rPr>
          <w:b/>
          <w:bCs/>
          <w:noProof w:val="0"/>
          <w:rtl/>
        </w:rPr>
        <w:t>.</w:t>
      </w:r>
    </w:p>
    <w:p w:rsidR="0094500F" w:rsidRPr="00B53A09" w:rsidRDefault="0094500F" w:rsidP="0094500F">
      <w:pPr>
        <w:spacing w:after="160" w:line="259" w:lineRule="auto"/>
        <w:ind w:left="1269" w:right="709" w:hanging="426"/>
        <w:jc w:val="both"/>
        <w:rPr>
          <w:b/>
          <w:bCs/>
          <w:noProof w:val="0"/>
          <w:rtl/>
        </w:rPr>
      </w:pPr>
      <w:r w:rsidRPr="00B53A09">
        <w:rPr>
          <w:b/>
          <w:bCs/>
          <w:noProof w:val="0"/>
          <w:rtl/>
        </w:rPr>
        <w:t>(ב)</w:t>
      </w:r>
      <w:r w:rsidRPr="00B53A09">
        <w:rPr>
          <w:b/>
          <w:bCs/>
          <w:noProof w:val="0"/>
          <w:rtl/>
        </w:rPr>
        <w:tab/>
        <w:t>תקופה קצובה במספר חדשים או שנ</w:t>
      </w:r>
      <w:r>
        <w:rPr>
          <w:b/>
          <w:bCs/>
          <w:noProof w:val="0"/>
          <w:rtl/>
        </w:rPr>
        <w:t>ים לאחר אירוע פלוני תסתיים בחדש</w:t>
      </w:r>
      <w:r w:rsidRPr="00B53A09">
        <w:rPr>
          <w:b/>
          <w:bCs/>
          <w:noProof w:val="0"/>
          <w:rtl/>
        </w:rPr>
        <w:t xml:space="preserve"> האחרון ביום שמספרו בחודש כמספר יום האירוע, ואם היה החודש חסר אותו יום - ביום האחרון של החודש.</w:t>
      </w:r>
    </w:p>
    <w:p w:rsidR="0094500F" w:rsidRPr="00B53A09" w:rsidRDefault="0094500F" w:rsidP="0094500F">
      <w:pPr>
        <w:spacing w:after="160" w:line="259" w:lineRule="auto"/>
        <w:ind w:left="1269" w:right="709" w:hanging="426"/>
        <w:jc w:val="both"/>
        <w:rPr>
          <w:b/>
          <w:bCs/>
          <w:noProof w:val="0"/>
          <w:rtl/>
        </w:rPr>
      </w:pPr>
      <w:r w:rsidRPr="00B53A09">
        <w:rPr>
          <w:b/>
          <w:bCs/>
          <w:noProof w:val="0"/>
          <w:rtl/>
        </w:rPr>
        <w:t>(ג)</w:t>
      </w:r>
      <w:r w:rsidRPr="00B53A09">
        <w:rPr>
          <w:b/>
          <w:bCs/>
          <w:noProof w:val="0"/>
          <w:rtl/>
        </w:rPr>
        <w:tab/>
      </w:r>
      <w:proofErr w:type="spellStart"/>
      <w:r w:rsidRPr="00B53A09">
        <w:rPr>
          <w:b/>
          <w:bCs/>
          <w:noProof w:val="0"/>
          <w:rtl/>
        </w:rPr>
        <w:t>במנין</w:t>
      </w:r>
      <w:proofErr w:type="spellEnd"/>
      <w:r w:rsidRPr="00B53A09">
        <w:rPr>
          <w:b/>
          <w:bCs/>
          <w:noProof w:val="0"/>
          <w:rtl/>
        </w:rPr>
        <w:t xml:space="preserve"> ימי תקופה יבואו גם ימי מנוחה, פגרה או שבתון שעל פי חיקוק, זולת אם הם הימים האחרונים שבתקופה.</w:t>
      </w:r>
    </w:p>
    <w:p w:rsidR="0094500F" w:rsidRPr="00B53A09" w:rsidRDefault="0094500F" w:rsidP="0094500F">
      <w:pPr>
        <w:numPr>
          <w:ilvl w:val="0"/>
          <w:numId w:val="3"/>
        </w:numPr>
        <w:spacing w:before="240" w:after="240" w:line="360" w:lineRule="auto"/>
        <w:ind w:left="363" w:hanging="357"/>
        <w:jc w:val="both"/>
        <w:rPr>
          <w:noProof w:val="0"/>
        </w:rPr>
      </w:pPr>
      <w:r w:rsidRPr="00B53A09">
        <w:rPr>
          <w:noProof w:val="0"/>
          <w:rtl/>
        </w:rPr>
        <w:t>כאמור, העסקה בוצעה ביום 10.10.16 ומכתב הביטול התקבל במשרדי הנתבעת ביום 25.10.16. מכאן כי הנתבעת הודיעה על הביטול בתוך 14 ימים מיום עשיית ההסכם. על כן התובעת עמדה בהוראות החוק בסוגיה זו.</w:t>
      </w:r>
    </w:p>
    <w:p w:rsidR="0094500F" w:rsidRPr="00B53A09" w:rsidRDefault="0094500F" w:rsidP="0094500F">
      <w:pPr>
        <w:numPr>
          <w:ilvl w:val="0"/>
          <w:numId w:val="3"/>
        </w:numPr>
        <w:spacing w:before="240" w:after="240" w:line="360" w:lineRule="auto"/>
        <w:ind w:left="363" w:hanging="357"/>
        <w:jc w:val="both"/>
        <w:rPr>
          <w:noProof w:val="0"/>
        </w:rPr>
      </w:pPr>
      <w:r w:rsidRPr="00B53A09">
        <w:rPr>
          <w:noProof w:val="0"/>
          <w:rtl/>
        </w:rPr>
        <w:t xml:space="preserve"> באשר לדרישת החוק כי הביטול יעשה 14 ימים, שאינם ימי מנוחה לפחות, קודם לתחילת השירות יש לבחון את ימי המנוחה בתקופה הנדונה. היום בו החלו הלימודים בקורס הראשון אליו נרשמה הנתבעת היה יום שלישי, 01.11.16. אבחן את ימי המנוחה שקדמו ליום פתיחת הלימודים:</w:t>
      </w:r>
    </w:p>
    <w:p w:rsidR="0094500F" w:rsidRPr="00B53A09" w:rsidRDefault="0094500F" w:rsidP="0094500F">
      <w:pPr>
        <w:numPr>
          <w:ilvl w:val="1"/>
          <w:numId w:val="3"/>
        </w:numPr>
        <w:spacing w:before="120" w:after="120" w:line="360" w:lineRule="auto"/>
        <w:ind w:left="697" w:hanging="357"/>
        <w:contextualSpacing/>
        <w:jc w:val="both"/>
        <w:rPr>
          <w:noProof w:val="0"/>
        </w:rPr>
      </w:pPr>
      <w:r w:rsidRPr="00B53A09">
        <w:rPr>
          <w:noProof w:val="0"/>
          <w:rtl/>
        </w:rPr>
        <w:t>יום כיפור חל ביום רביעי, 12.10.16.</w:t>
      </w:r>
    </w:p>
    <w:p w:rsidR="0094500F" w:rsidRPr="00B53A09" w:rsidRDefault="0094500F" w:rsidP="0094500F">
      <w:pPr>
        <w:numPr>
          <w:ilvl w:val="1"/>
          <w:numId w:val="3"/>
        </w:numPr>
        <w:spacing w:before="120" w:after="120" w:line="360" w:lineRule="auto"/>
        <w:ind w:left="697" w:hanging="357"/>
        <w:contextualSpacing/>
        <w:jc w:val="both"/>
        <w:rPr>
          <w:noProof w:val="0"/>
        </w:rPr>
      </w:pPr>
      <w:r w:rsidRPr="00B53A09">
        <w:rPr>
          <w:noProof w:val="0"/>
          <w:rtl/>
        </w:rPr>
        <w:t>חג הסוכות חל ביום שני, 17.10.16.</w:t>
      </w:r>
    </w:p>
    <w:p w:rsidR="0094500F" w:rsidRPr="00B53A09" w:rsidRDefault="0094500F" w:rsidP="0094500F">
      <w:pPr>
        <w:numPr>
          <w:ilvl w:val="1"/>
          <w:numId w:val="3"/>
        </w:numPr>
        <w:spacing w:before="120" w:after="120" w:line="360" w:lineRule="auto"/>
        <w:ind w:left="697" w:hanging="357"/>
        <w:contextualSpacing/>
        <w:jc w:val="both"/>
        <w:rPr>
          <w:noProof w:val="0"/>
        </w:rPr>
      </w:pPr>
      <w:r w:rsidRPr="00B53A09">
        <w:rPr>
          <w:noProof w:val="0"/>
          <w:rtl/>
        </w:rPr>
        <w:t>שמחת תורה, ביום שני, 24.10.16.</w:t>
      </w:r>
    </w:p>
    <w:p w:rsidR="0094500F" w:rsidRDefault="0094500F" w:rsidP="0094500F">
      <w:pPr>
        <w:numPr>
          <w:ilvl w:val="1"/>
          <w:numId w:val="3"/>
        </w:numPr>
        <w:spacing w:before="120" w:after="120" w:line="360" w:lineRule="auto"/>
        <w:ind w:left="697" w:hanging="357"/>
        <w:contextualSpacing/>
        <w:jc w:val="both"/>
        <w:rPr>
          <w:noProof w:val="0"/>
        </w:rPr>
      </w:pPr>
      <w:r>
        <w:rPr>
          <w:noProof w:val="0"/>
          <w:rtl/>
        </w:rPr>
        <w:t>ימים 15.10.16, 22.10.16</w:t>
      </w:r>
      <w:r>
        <w:rPr>
          <w:rFonts w:hint="cs"/>
          <w:noProof w:val="0"/>
          <w:rtl/>
        </w:rPr>
        <w:t xml:space="preserve">, 29.10.2016 </w:t>
      </w:r>
      <w:r>
        <w:rPr>
          <w:noProof w:val="0"/>
          <w:rtl/>
        </w:rPr>
        <w:t>הם ימי שבת</w:t>
      </w:r>
      <w:r>
        <w:rPr>
          <w:rFonts w:hint="cs"/>
          <w:noProof w:val="0"/>
          <w:rtl/>
        </w:rPr>
        <w:t xml:space="preserve">. </w:t>
      </w:r>
    </w:p>
    <w:p w:rsidR="0094500F" w:rsidRDefault="0094500F" w:rsidP="0094500F">
      <w:pPr>
        <w:numPr>
          <w:ilvl w:val="0"/>
          <w:numId w:val="3"/>
        </w:numPr>
        <w:spacing w:before="240" w:after="240" w:line="360" w:lineRule="auto"/>
        <w:ind w:left="6" w:hanging="357"/>
        <w:jc w:val="both"/>
        <w:rPr>
          <w:noProof w:val="0"/>
        </w:rPr>
      </w:pPr>
      <w:r>
        <w:rPr>
          <w:rFonts w:hint="cs"/>
          <w:noProof w:val="0"/>
          <w:rtl/>
        </w:rPr>
        <w:t xml:space="preserve"> </w:t>
      </w:r>
      <w:r w:rsidRPr="00B53A09">
        <w:rPr>
          <w:noProof w:val="0"/>
          <w:rtl/>
        </w:rPr>
        <w:t>המכללה קבעה בתקנון דרישה ולפיה ביטול ייעשה אך ורק בדואר רשום, כאשר המועד</w:t>
      </w:r>
      <w:r>
        <w:rPr>
          <w:noProof w:val="0"/>
          <w:rtl/>
        </w:rPr>
        <w:t xml:space="preserve"> הקובע יהיה מועד הקבלה של המכתב</w:t>
      </w:r>
      <w:r>
        <w:rPr>
          <w:rFonts w:hint="cs"/>
          <w:noProof w:val="0"/>
          <w:rtl/>
        </w:rPr>
        <w:t xml:space="preserve"> </w:t>
      </w:r>
      <w:r w:rsidRPr="00B53A09">
        <w:rPr>
          <w:noProof w:val="0"/>
          <w:rtl/>
        </w:rPr>
        <w:t>במשרדיה (ראה סעיף ז(1) לתקנון). לאור דרישה זו וימי המנוחה שחלו בתקופה הרלוונטית, הרי שכבר ביום כריתת החוזה, 10.10.16, לא עמדו לרשות התובעת 14 ימים שאינם ימי מנוחה, קו</w:t>
      </w:r>
      <w:r>
        <w:rPr>
          <w:noProof w:val="0"/>
          <w:rtl/>
        </w:rPr>
        <w:t>דם לתחילת השירות ביום 01.11.16</w:t>
      </w:r>
      <w:r>
        <w:rPr>
          <w:rFonts w:hint="cs"/>
          <w:noProof w:val="0"/>
          <w:rtl/>
        </w:rPr>
        <w:t xml:space="preserve">, זאת אם נביא בחשבון כי מסירת דבר </w:t>
      </w:r>
      <w:r>
        <w:rPr>
          <w:rFonts w:hint="cs"/>
          <w:noProof w:val="0"/>
          <w:rtl/>
        </w:rPr>
        <w:lastRenderedPageBreak/>
        <w:t xml:space="preserve">דואר רשום נעשית (לכל הפחות)  3 ימים לאחר המשלוח (כפי שטען נציג הנתבעת בדיון). בהקשר זה יש לציין כי דבר הדואר שנשלח על ידי התובעת בדואר רשום </w:t>
      </w:r>
      <w:r w:rsidRPr="00B8456E">
        <w:rPr>
          <w:rFonts w:hint="cs"/>
          <w:noProof w:val="0"/>
          <w:rtl/>
        </w:rPr>
        <w:t xml:space="preserve">מהיר </w:t>
      </w:r>
      <w:r>
        <w:rPr>
          <w:rFonts w:hint="cs"/>
          <w:noProof w:val="0"/>
          <w:rtl/>
        </w:rPr>
        <w:t>הגיע ליעדו כעבור 7 ימים. מובן כי התובעת אינה אחראית לפרק הזמן בו רשות הדואר מבצעת את משימותיה.</w:t>
      </w:r>
    </w:p>
    <w:p w:rsidR="0094500F" w:rsidRPr="00357E1D" w:rsidRDefault="0094500F" w:rsidP="0094500F">
      <w:pPr>
        <w:numPr>
          <w:ilvl w:val="0"/>
          <w:numId w:val="3"/>
        </w:numPr>
        <w:spacing w:before="240" w:after="240" w:line="360" w:lineRule="auto"/>
        <w:ind w:left="6" w:hanging="357"/>
        <w:jc w:val="both"/>
        <w:rPr>
          <w:noProof w:val="0"/>
          <w:rtl/>
        </w:rPr>
      </w:pPr>
      <w:r>
        <w:rPr>
          <w:rFonts w:hint="cs"/>
          <w:noProof w:val="0"/>
          <w:rtl/>
        </w:rPr>
        <w:t xml:space="preserve"> הנתבעת לא טענה ולא הוכיחה </w:t>
      </w:r>
      <w:r w:rsidRPr="00B53A09">
        <w:rPr>
          <w:noProof w:val="0"/>
          <w:rtl/>
        </w:rPr>
        <w:t>כי התריעה בפנ</w:t>
      </w:r>
      <w:r>
        <w:rPr>
          <w:noProof w:val="0"/>
          <w:rtl/>
        </w:rPr>
        <w:t>י התובעת</w:t>
      </w:r>
      <w:r>
        <w:rPr>
          <w:rFonts w:hint="cs"/>
          <w:noProof w:val="0"/>
          <w:rtl/>
        </w:rPr>
        <w:t xml:space="preserve"> כי נוכח עיתוי ההרשמה הרי בפועל לא יתאפשר לה לבטל את ההרשמה, כאשר יש להדגיש כי הזכות שנקבעה בתקנות לביטול ההרשמה בתוך 14 ימים ממועד עשיית ההסכם, היא בגדר זכות קוגנטית. הנתבעת </w:t>
      </w:r>
      <w:r w:rsidRPr="00B53A09">
        <w:rPr>
          <w:noProof w:val="0"/>
          <w:rtl/>
        </w:rPr>
        <w:t>הקפידה ל</w:t>
      </w:r>
      <w:r>
        <w:rPr>
          <w:noProof w:val="0"/>
          <w:rtl/>
        </w:rPr>
        <w:t>החתים את התובעת על מסמכי ההרשמה</w:t>
      </w:r>
      <w:r>
        <w:rPr>
          <w:rFonts w:hint="cs"/>
          <w:noProof w:val="0"/>
          <w:rtl/>
        </w:rPr>
        <w:t>,</w:t>
      </w:r>
      <w:r w:rsidRPr="00B53A09">
        <w:rPr>
          <w:noProof w:val="0"/>
          <w:rtl/>
        </w:rPr>
        <w:t xml:space="preserve"> זאת תוך שהיא מוסיפה בכתב יד הערות </w:t>
      </w:r>
      <w:r>
        <w:rPr>
          <w:rFonts w:hint="cs"/>
          <w:noProof w:val="0"/>
          <w:rtl/>
        </w:rPr>
        <w:t xml:space="preserve">שונות. </w:t>
      </w:r>
      <w:r w:rsidRPr="00B53A09">
        <w:rPr>
          <w:noProof w:val="0"/>
          <w:rtl/>
        </w:rPr>
        <w:t>עם זאת, אין כל אינדיקציה לעניין המגבלה על ביטול הרישום בשל העיתוי בו הוא בוצע. בשולי הדברים אציין כי הנתבעת בחרה שלא להביא לעדות את הנציג</w:t>
      </w:r>
      <w:r>
        <w:rPr>
          <w:noProof w:val="0"/>
          <w:rtl/>
        </w:rPr>
        <w:t>ה שהייתה מעורבת בתהליך הרישום</w:t>
      </w:r>
      <w:r>
        <w:rPr>
          <w:rFonts w:hint="cs"/>
          <w:noProof w:val="0"/>
          <w:rtl/>
        </w:rPr>
        <w:t>.</w:t>
      </w:r>
      <w:r>
        <w:rPr>
          <w:noProof w:val="0"/>
          <w:rtl/>
        </w:rPr>
        <w:t xml:space="preserve"> </w:t>
      </w:r>
      <w:r w:rsidRPr="00357E1D">
        <w:rPr>
          <w:rFonts w:hint="cs"/>
          <w:b/>
          <w:bCs/>
          <w:noProof w:val="0"/>
          <w:rtl/>
        </w:rPr>
        <w:t>[ר</w:t>
      </w:r>
      <w:r w:rsidRPr="00357E1D">
        <w:rPr>
          <w:b/>
          <w:bCs/>
          <w:noProof w:val="0"/>
          <w:rtl/>
        </w:rPr>
        <w:t>או</w:t>
      </w:r>
      <w:r w:rsidRPr="0094500F">
        <w:rPr>
          <w:rFonts w:ascii="Calibri" w:hAnsi="Calibri"/>
          <w:b/>
          <w:bCs/>
          <w:noProof w:val="0"/>
          <w:sz w:val="22"/>
          <w:szCs w:val="22"/>
          <w:rtl/>
        </w:rPr>
        <w:t xml:space="preserve"> </w:t>
      </w:r>
      <w:r w:rsidRPr="0094500F">
        <w:rPr>
          <w:rFonts w:ascii="Calibri" w:hAnsi="Calibri" w:hint="cs"/>
          <w:b/>
          <w:bCs/>
          <w:noProof w:val="0"/>
          <w:sz w:val="22"/>
          <w:szCs w:val="22"/>
          <w:rtl/>
        </w:rPr>
        <w:t xml:space="preserve">, </w:t>
      </w:r>
      <w:hyperlink r:id="rId27" w:history="1">
        <w:r w:rsidR="00DD0CF8" w:rsidRPr="00DD0CF8">
          <w:rPr>
            <w:rFonts w:ascii="Calibri" w:hAnsi="Calibri" w:hint="eastAsia"/>
            <w:b/>
            <w:bCs/>
            <w:noProof w:val="0"/>
            <w:color w:val="0000FF"/>
            <w:szCs w:val="22"/>
            <w:u w:val="single"/>
            <w:rtl/>
          </w:rPr>
          <w:t>ע</w:t>
        </w:r>
        <w:r w:rsidR="00DD0CF8" w:rsidRPr="00DD0CF8">
          <w:rPr>
            <w:rFonts w:ascii="Calibri" w:hAnsi="Calibri"/>
            <w:b/>
            <w:bCs/>
            <w:noProof w:val="0"/>
            <w:color w:val="0000FF"/>
            <w:szCs w:val="22"/>
            <w:u w:val="single"/>
            <w:rtl/>
          </w:rPr>
          <w:t>"</w:t>
        </w:r>
        <w:r w:rsidR="00DD0CF8" w:rsidRPr="00DD0CF8">
          <w:rPr>
            <w:rFonts w:ascii="Calibri" w:hAnsi="Calibri" w:hint="eastAsia"/>
            <w:b/>
            <w:bCs/>
            <w:noProof w:val="0"/>
            <w:color w:val="0000FF"/>
            <w:szCs w:val="22"/>
            <w:u w:val="single"/>
            <w:rtl/>
          </w:rPr>
          <w:t>א</w:t>
        </w:r>
        <w:r w:rsidR="00DD0CF8" w:rsidRPr="00DD0CF8">
          <w:rPr>
            <w:rFonts w:ascii="Calibri" w:hAnsi="Calibri"/>
            <w:b/>
            <w:bCs/>
            <w:noProof w:val="0"/>
            <w:color w:val="0000FF"/>
            <w:szCs w:val="22"/>
            <w:u w:val="single"/>
            <w:rtl/>
          </w:rPr>
          <w:t xml:space="preserve"> 548/78</w:t>
        </w:r>
      </w:hyperlink>
      <w:r w:rsidRPr="0094500F">
        <w:rPr>
          <w:rFonts w:ascii="Calibri" w:hAnsi="Calibri"/>
          <w:b/>
          <w:bCs/>
          <w:noProof w:val="0"/>
          <w:szCs w:val="22"/>
          <w:rtl/>
        </w:rPr>
        <w:t xml:space="preserve"> </w:t>
      </w:r>
      <w:r w:rsidRPr="0094500F">
        <w:rPr>
          <w:rFonts w:ascii="Calibri" w:hAnsi="Calibri" w:hint="eastAsia"/>
          <w:b/>
          <w:bCs/>
          <w:noProof w:val="0"/>
          <w:szCs w:val="22"/>
          <w:rtl/>
        </w:rPr>
        <w:t>פלונית</w:t>
      </w:r>
      <w:r w:rsidRPr="0094500F">
        <w:rPr>
          <w:rFonts w:ascii="Calibri" w:hAnsi="Calibri"/>
          <w:b/>
          <w:bCs/>
          <w:noProof w:val="0"/>
          <w:szCs w:val="22"/>
          <w:rtl/>
        </w:rPr>
        <w:t xml:space="preserve"> </w:t>
      </w:r>
      <w:r w:rsidRPr="0094500F">
        <w:rPr>
          <w:rFonts w:ascii="Calibri" w:hAnsi="Calibri" w:hint="eastAsia"/>
          <w:b/>
          <w:bCs/>
          <w:noProof w:val="0"/>
          <w:szCs w:val="22"/>
          <w:rtl/>
        </w:rPr>
        <w:t>נ</w:t>
      </w:r>
      <w:r w:rsidRPr="0094500F">
        <w:rPr>
          <w:rFonts w:ascii="Calibri" w:hAnsi="Calibri"/>
          <w:b/>
          <w:bCs/>
          <w:noProof w:val="0"/>
          <w:szCs w:val="22"/>
          <w:rtl/>
        </w:rPr>
        <w:t xml:space="preserve">' </w:t>
      </w:r>
      <w:r w:rsidRPr="0094500F">
        <w:rPr>
          <w:rFonts w:ascii="Calibri" w:hAnsi="Calibri" w:hint="eastAsia"/>
          <w:b/>
          <w:bCs/>
          <w:noProof w:val="0"/>
          <w:szCs w:val="22"/>
          <w:rtl/>
        </w:rPr>
        <w:t>פלוני</w:t>
      </w:r>
      <w:r w:rsidRPr="0094500F">
        <w:rPr>
          <w:rFonts w:ascii="Calibri" w:hAnsi="Calibri"/>
          <w:b/>
          <w:bCs/>
          <w:noProof w:val="0"/>
          <w:szCs w:val="22"/>
          <w:rtl/>
        </w:rPr>
        <w:t xml:space="preserve">, </w:t>
      </w:r>
      <w:r w:rsidRPr="0094500F">
        <w:rPr>
          <w:rFonts w:ascii="Calibri" w:hAnsi="Calibri" w:hint="eastAsia"/>
          <w:b/>
          <w:bCs/>
          <w:noProof w:val="0"/>
          <w:szCs w:val="22"/>
          <w:rtl/>
        </w:rPr>
        <w:t>ל</w:t>
      </w:r>
      <w:r w:rsidRPr="0094500F">
        <w:rPr>
          <w:rFonts w:ascii="Calibri" w:hAnsi="Calibri"/>
          <w:b/>
          <w:bCs/>
          <w:noProof w:val="0"/>
          <w:szCs w:val="22"/>
          <w:rtl/>
        </w:rPr>
        <w:t>(1) 736 (1980)</w:t>
      </w:r>
      <w:r w:rsidRPr="0094500F">
        <w:rPr>
          <w:rFonts w:ascii="Calibri" w:hAnsi="Calibri" w:hint="cs"/>
          <w:b/>
          <w:bCs/>
          <w:noProof w:val="0"/>
          <w:szCs w:val="22"/>
          <w:rtl/>
        </w:rPr>
        <w:t>]</w:t>
      </w:r>
    </w:p>
    <w:p w:rsidR="0094500F" w:rsidRDefault="0094500F" w:rsidP="0094500F">
      <w:pPr>
        <w:spacing w:before="240" w:after="240" w:line="360" w:lineRule="auto"/>
        <w:jc w:val="both"/>
        <w:rPr>
          <w:noProof w:val="0"/>
          <w:rtl/>
        </w:rPr>
      </w:pPr>
      <w:r>
        <w:rPr>
          <w:rFonts w:hint="cs"/>
          <w:noProof w:val="0"/>
          <w:rtl/>
        </w:rPr>
        <w:t xml:space="preserve">מצאתי לנכון להוסיף כי הדרישה לפיה הביטול יעשה אך בדואר רשום, וכי המועד הקובע  לעניין זה יהיה מועד קבלת המכתב, יש בה כדי לקצר באופן משמעותי את פרק הזמן של 14 ימים כפי שנקבע בתקנות, במסגרתו רשאי הנרשם להימלך בדעתו. לא היה בפני הנתבעת כל הסבר מדוע לא אפשרה את ביטול ההרשמה בהודעת דואר אלקטרוני או אפילו בהגעה למשרדיה וחתימה על טופס מתאים. נראה כי הדרך היחידה שנקבעה בתקנון לביטול העסקה, היה בה כדי להקשות על הנרשמים, לממש את זכותם לביטול רכישת השירות כפי שנקבעה על פי התקנות. </w:t>
      </w:r>
    </w:p>
    <w:p w:rsidR="0094500F" w:rsidRDefault="0094500F" w:rsidP="0094500F">
      <w:pPr>
        <w:spacing w:before="240" w:after="240" w:line="360" w:lineRule="auto"/>
        <w:jc w:val="both"/>
        <w:rPr>
          <w:noProof w:val="0"/>
          <w:rtl/>
        </w:rPr>
      </w:pPr>
      <w:r>
        <w:rPr>
          <w:rFonts w:hint="cs"/>
          <w:noProof w:val="0"/>
          <w:rtl/>
        </w:rPr>
        <w:t xml:space="preserve">בסכומו של דבר, התובעת עשתה שימוש בזכות הביטול המוקנית לה על פי התקנות מששלחה את דבר הדואר הרשום בתוך 7 ימים ממועד ההרשמה. כפי שהובהר, יש לקבוע כי ביטול זה היה כדין, זאת לאור כוונת המחוקק לאפשר לנרשם להימלך בדעתו ולבטל את השירות בתוך 14 ימים מעשיית העסקה. עוד יצוין כי בנסיבות דנן בהן נערך רישום מאוחר, ברי כי היו לנתבעת מקומות פנויים במסלול הלימודים, כך שהנתבעת לא הסתמכה מראש על השתתפותה של התובעת בקורסים.  יתר על כן, הנתבעת לא הוכיחה כי עקב רישומה של התובעת, נמנעה מלרשום תלמידים אחרים שביקשו להירשם ללימודים אצלה. </w:t>
      </w:r>
    </w:p>
    <w:p w:rsidR="0094500F" w:rsidRPr="00B53A09" w:rsidRDefault="0094500F" w:rsidP="0094500F">
      <w:pPr>
        <w:keepNext/>
        <w:keepLines/>
        <w:spacing w:before="360" w:after="240"/>
        <w:outlineLvl w:val="0"/>
        <w:rPr>
          <w:b/>
          <w:bCs/>
          <w:noProof w:val="0"/>
          <w:rtl/>
        </w:rPr>
      </w:pPr>
      <w:r w:rsidRPr="00B53A09">
        <w:rPr>
          <w:b/>
          <w:bCs/>
          <w:noProof w:val="0"/>
          <w:rtl/>
        </w:rPr>
        <w:t>סוף דבר</w:t>
      </w:r>
    </w:p>
    <w:p w:rsidR="0094500F" w:rsidRPr="00B53A09" w:rsidRDefault="0094500F" w:rsidP="0094500F">
      <w:pPr>
        <w:numPr>
          <w:ilvl w:val="0"/>
          <w:numId w:val="2"/>
        </w:numPr>
        <w:spacing w:before="240" w:after="240" w:line="360" w:lineRule="auto"/>
        <w:ind w:left="363" w:hanging="357"/>
        <w:jc w:val="both"/>
        <w:rPr>
          <w:noProof w:val="0"/>
        </w:rPr>
      </w:pPr>
      <w:r w:rsidRPr="00B53A09">
        <w:rPr>
          <w:noProof w:val="0"/>
          <w:rtl/>
        </w:rPr>
        <w:t>אני מקבלת את התביעה.</w:t>
      </w:r>
    </w:p>
    <w:p w:rsidR="0094500F" w:rsidRPr="00B53A09" w:rsidRDefault="0094500F" w:rsidP="0094500F">
      <w:pPr>
        <w:numPr>
          <w:ilvl w:val="1"/>
          <w:numId w:val="3"/>
        </w:numPr>
        <w:spacing w:before="120" w:after="120" w:line="360" w:lineRule="auto"/>
        <w:ind w:left="697" w:hanging="357"/>
        <w:contextualSpacing/>
        <w:jc w:val="both"/>
        <w:rPr>
          <w:noProof w:val="0"/>
        </w:rPr>
      </w:pPr>
      <w:r>
        <w:rPr>
          <w:rFonts w:hint="cs"/>
          <w:noProof w:val="0"/>
          <w:rtl/>
        </w:rPr>
        <w:t xml:space="preserve">אני סבורה כי העסקה בוטלה כדין, ואני מורה לנתבעת </w:t>
      </w:r>
      <w:r w:rsidRPr="00B53A09">
        <w:rPr>
          <w:noProof w:val="0"/>
          <w:rtl/>
        </w:rPr>
        <w:t>להשיב לתובעת סך 2,000 ₪ ששילמה כמקדמה.</w:t>
      </w:r>
    </w:p>
    <w:p w:rsidR="0094500F" w:rsidRPr="00B53A09" w:rsidRDefault="0094500F" w:rsidP="0094500F">
      <w:pPr>
        <w:numPr>
          <w:ilvl w:val="1"/>
          <w:numId w:val="3"/>
        </w:numPr>
        <w:spacing w:before="120" w:after="120" w:line="360" w:lineRule="auto"/>
        <w:ind w:left="697" w:hanging="357"/>
        <w:contextualSpacing/>
        <w:jc w:val="both"/>
        <w:rPr>
          <w:noProof w:val="0"/>
        </w:rPr>
      </w:pPr>
      <w:r w:rsidRPr="00B53A09">
        <w:rPr>
          <w:noProof w:val="0"/>
          <w:rtl/>
        </w:rPr>
        <w:t>כמו כל, תי</w:t>
      </w:r>
      <w:r>
        <w:rPr>
          <w:noProof w:val="0"/>
          <w:rtl/>
        </w:rPr>
        <w:t xml:space="preserve">שא הנתבעת בהוצאות התובעת בסך </w:t>
      </w:r>
      <w:r>
        <w:rPr>
          <w:rFonts w:hint="cs"/>
          <w:noProof w:val="0"/>
          <w:rtl/>
        </w:rPr>
        <w:t xml:space="preserve">500 </w:t>
      </w:r>
      <w:r w:rsidRPr="00B53A09">
        <w:rPr>
          <w:noProof w:val="0"/>
          <w:rtl/>
        </w:rPr>
        <w:t>ש"ח.</w:t>
      </w:r>
    </w:p>
    <w:p w:rsidR="0094500F" w:rsidRPr="00B53A09" w:rsidRDefault="0094500F" w:rsidP="0094500F">
      <w:pPr>
        <w:numPr>
          <w:ilvl w:val="0"/>
          <w:numId w:val="2"/>
        </w:numPr>
        <w:spacing w:before="240" w:after="240" w:line="360" w:lineRule="auto"/>
        <w:ind w:left="363" w:hanging="357"/>
        <w:jc w:val="both"/>
        <w:rPr>
          <w:noProof w:val="0"/>
        </w:rPr>
      </w:pPr>
      <w:r w:rsidRPr="00B53A09">
        <w:rPr>
          <w:noProof w:val="0"/>
          <w:rtl/>
        </w:rPr>
        <w:t xml:space="preserve">הסכום </w:t>
      </w:r>
      <w:r>
        <w:rPr>
          <w:rFonts w:hint="cs"/>
          <w:noProof w:val="0"/>
          <w:rtl/>
        </w:rPr>
        <w:t xml:space="preserve">הכולל </w:t>
      </w:r>
      <w:r w:rsidRPr="00B53A09">
        <w:rPr>
          <w:noProof w:val="0"/>
          <w:rtl/>
        </w:rPr>
        <w:t>ישולם בתוך</w:t>
      </w:r>
      <w:r>
        <w:rPr>
          <w:noProof w:val="0"/>
          <w:rtl/>
        </w:rPr>
        <w:t xml:space="preserve"> 30 יום מהיום, ומאותו מועד יישא</w:t>
      </w:r>
      <w:r w:rsidRPr="00B53A09">
        <w:rPr>
          <w:noProof w:val="0"/>
          <w:rtl/>
        </w:rPr>
        <w:t xml:space="preserve"> ריבית </w:t>
      </w:r>
      <w:r>
        <w:rPr>
          <w:rFonts w:hint="cs"/>
          <w:noProof w:val="0"/>
          <w:rtl/>
        </w:rPr>
        <w:t xml:space="preserve">כחוק </w:t>
      </w:r>
      <w:r w:rsidRPr="00B53A09">
        <w:rPr>
          <w:noProof w:val="0"/>
          <w:rtl/>
        </w:rPr>
        <w:t xml:space="preserve">והפרשי הצמדה. </w:t>
      </w:r>
    </w:p>
    <w:p w:rsidR="0094500F" w:rsidRPr="0094500F" w:rsidRDefault="0094500F" w:rsidP="0094500F">
      <w:pPr>
        <w:spacing w:after="160" w:line="360" w:lineRule="auto"/>
        <w:rPr>
          <w:rFonts w:ascii="Calibri" w:hAnsi="Calibri"/>
          <w:b/>
          <w:bCs/>
          <w:noProof w:val="0"/>
          <w:rtl/>
        </w:rPr>
      </w:pPr>
      <w:r w:rsidRPr="0094500F">
        <w:rPr>
          <w:rFonts w:ascii="Calibri" w:hAnsi="Calibri" w:hint="eastAsia"/>
          <w:b/>
          <w:bCs/>
          <w:noProof w:val="0"/>
          <w:rtl/>
        </w:rPr>
        <w:t>פסק</w:t>
      </w:r>
      <w:r w:rsidRPr="0094500F">
        <w:rPr>
          <w:rFonts w:ascii="Calibri" w:hAnsi="Calibri"/>
          <w:b/>
          <w:bCs/>
          <w:noProof w:val="0"/>
          <w:rtl/>
        </w:rPr>
        <w:t xml:space="preserve"> </w:t>
      </w:r>
      <w:r w:rsidRPr="0094500F">
        <w:rPr>
          <w:rFonts w:ascii="Calibri" w:hAnsi="Calibri" w:hint="eastAsia"/>
          <w:b/>
          <w:bCs/>
          <w:noProof w:val="0"/>
          <w:rtl/>
        </w:rPr>
        <w:t>הדין</w:t>
      </w:r>
      <w:r w:rsidRPr="0094500F">
        <w:rPr>
          <w:rFonts w:ascii="Calibri" w:hAnsi="Calibri"/>
          <w:b/>
          <w:bCs/>
          <w:noProof w:val="0"/>
          <w:rtl/>
        </w:rPr>
        <w:t xml:space="preserve"> </w:t>
      </w:r>
      <w:r w:rsidRPr="0094500F">
        <w:rPr>
          <w:rFonts w:ascii="Calibri" w:hAnsi="Calibri" w:hint="eastAsia"/>
          <w:b/>
          <w:bCs/>
          <w:noProof w:val="0"/>
          <w:rtl/>
        </w:rPr>
        <w:t>ניתן</w:t>
      </w:r>
      <w:r w:rsidRPr="0094500F">
        <w:rPr>
          <w:rFonts w:ascii="Calibri" w:hAnsi="Calibri"/>
          <w:b/>
          <w:bCs/>
          <w:noProof w:val="0"/>
          <w:rtl/>
        </w:rPr>
        <w:t xml:space="preserve"> </w:t>
      </w:r>
      <w:r w:rsidRPr="0094500F">
        <w:rPr>
          <w:rFonts w:ascii="Calibri" w:hAnsi="Calibri" w:hint="eastAsia"/>
          <w:b/>
          <w:bCs/>
          <w:noProof w:val="0"/>
          <w:rtl/>
        </w:rPr>
        <w:t>לערעור</w:t>
      </w:r>
      <w:r w:rsidRPr="0094500F">
        <w:rPr>
          <w:rFonts w:ascii="Calibri" w:hAnsi="Calibri"/>
          <w:b/>
          <w:bCs/>
          <w:noProof w:val="0"/>
          <w:rtl/>
        </w:rPr>
        <w:t xml:space="preserve"> </w:t>
      </w:r>
      <w:r w:rsidRPr="0094500F">
        <w:rPr>
          <w:rFonts w:ascii="Calibri" w:hAnsi="Calibri" w:hint="eastAsia"/>
          <w:b/>
          <w:bCs/>
          <w:noProof w:val="0"/>
          <w:rtl/>
        </w:rPr>
        <w:t>ברשות</w:t>
      </w:r>
      <w:r w:rsidRPr="0094500F">
        <w:rPr>
          <w:rFonts w:ascii="Calibri" w:hAnsi="Calibri"/>
          <w:b/>
          <w:bCs/>
          <w:noProof w:val="0"/>
          <w:rtl/>
        </w:rPr>
        <w:t xml:space="preserve"> </w:t>
      </w:r>
      <w:r w:rsidRPr="0094500F">
        <w:rPr>
          <w:rFonts w:ascii="Calibri" w:hAnsi="Calibri" w:hint="eastAsia"/>
          <w:b/>
          <w:bCs/>
          <w:noProof w:val="0"/>
          <w:rtl/>
        </w:rPr>
        <w:t>בלבד</w:t>
      </w:r>
      <w:r w:rsidRPr="0094500F">
        <w:rPr>
          <w:rFonts w:ascii="Calibri" w:hAnsi="Calibri"/>
          <w:b/>
          <w:bCs/>
          <w:noProof w:val="0"/>
          <w:rtl/>
        </w:rPr>
        <w:t xml:space="preserve">. </w:t>
      </w:r>
      <w:r w:rsidRPr="0094500F">
        <w:rPr>
          <w:rFonts w:ascii="Calibri" w:hAnsi="Calibri" w:hint="eastAsia"/>
          <w:b/>
          <w:bCs/>
          <w:noProof w:val="0"/>
          <w:rtl/>
        </w:rPr>
        <w:t>בקשת</w:t>
      </w:r>
      <w:r w:rsidRPr="0094500F">
        <w:rPr>
          <w:rFonts w:ascii="Calibri" w:hAnsi="Calibri"/>
          <w:b/>
          <w:bCs/>
          <w:noProof w:val="0"/>
          <w:rtl/>
        </w:rPr>
        <w:t xml:space="preserve"> </w:t>
      </w:r>
      <w:r w:rsidRPr="0094500F">
        <w:rPr>
          <w:rFonts w:ascii="Calibri" w:hAnsi="Calibri" w:hint="eastAsia"/>
          <w:b/>
          <w:bCs/>
          <w:noProof w:val="0"/>
          <w:rtl/>
        </w:rPr>
        <w:t>רשות</w:t>
      </w:r>
      <w:r w:rsidRPr="0094500F">
        <w:rPr>
          <w:rFonts w:ascii="Calibri" w:hAnsi="Calibri"/>
          <w:b/>
          <w:bCs/>
          <w:noProof w:val="0"/>
          <w:rtl/>
        </w:rPr>
        <w:t xml:space="preserve"> </w:t>
      </w:r>
      <w:r w:rsidRPr="0094500F">
        <w:rPr>
          <w:rFonts w:ascii="Calibri" w:hAnsi="Calibri" w:hint="eastAsia"/>
          <w:b/>
          <w:bCs/>
          <w:noProof w:val="0"/>
          <w:rtl/>
        </w:rPr>
        <w:t>ערעור</w:t>
      </w:r>
      <w:r w:rsidRPr="0094500F">
        <w:rPr>
          <w:rFonts w:ascii="Calibri" w:hAnsi="Calibri"/>
          <w:b/>
          <w:bCs/>
          <w:noProof w:val="0"/>
          <w:rtl/>
        </w:rPr>
        <w:t xml:space="preserve"> </w:t>
      </w:r>
      <w:r w:rsidRPr="0094500F">
        <w:rPr>
          <w:rFonts w:ascii="Calibri" w:hAnsi="Calibri" w:hint="eastAsia"/>
          <w:b/>
          <w:bCs/>
          <w:noProof w:val="0"/>
          <w:rtl/>
        </w:rPr>
        <w:t>ניתן</w:t>
      </w:r>
      <w:r w:rsidRPr="0094500F">
        <w:rPr>
          <w:rFonts w:ascii="Calibri" w:hAnsi="Calibri"/>
          <w:b/>
          <w:bCs/>
          <w:noProof w:val="0"/>
          <w:rtl/>
        </w:rPr>
        <w:t xml:space="preserve"> </w:t>
      </w:r>
      <w:r w:rsidRPr="0094500F">
        <w:rPr>
          <w:rFonts w:ascii="Calibri" w:hAnsi="Calibri" w:hint="eastAsia"/>
          <w:b/>
          <w:bCs/>
          <w:noProof w:val="0"/>
          <w:rtl/>
        </w:rPr>
        <w:t>להגיש</w:t>
      </w:r>
      <w:r w:rsidRPr="0094500F">
        <w:rPr>
          <w:rFonts w:ascii="Calibri" w:hAnsi="Calibri"/>
          <w:b/>
          <w:bCs/>
          <w:noProof w:val="0"/>
          <w:rtl/>
        </w:rPr>
        <w:t xml:space="preserve"> </w:t>
      </w:r>
      <w:r w:rsidRPr="0094500F">
        <w:rPr>
          <w:rFonts w:ascii="Calibri" w:hAnsi="Calibri" w:hint="eastAsia"/>
          <w:b/>
          <w:bCs/>
          <w:noProof w:val="0"/>
          <w:rtl/>
        </w:rPr>
        <w:t>לבית</w:t>
      </w:r>
      <w:r w:rsidRPr="0094500F">
        <w:rPr>
          <w:rFonts w:ascii="Calibri" w:hAnsi="Calibri"/>
          <w:b/>
          <w:bCs/>
          <w:noProof w:val="0"/>
          <w:rtl/>
        </w:rPr>
        <w:t xml:space="preserve"> </w:t>
      </w:r>
      <w:r w:rsidRPr="0094500F">
        <w:rPr>
          <w:rFonts w:ascii="Calibri" w:hAnsi="Calibri" w:hint="eastAsia"/>
          <w:b/>
          <w:bCs/>
          <w:noProof w:val="0"/>
          <w:rtl/>
        </w:rPr>
        <w:t>המשפט</w:t>
      </w:r>
      <w:r w:rsidRPr="0094500F">
        <w:rPr>
          <w:rFonts w:ascii="Calibri" w:hAnsi="Calibri"/>
          <w:b/>
          <w:bCs/>
          <w:noProof w:val="0"/>
          <w:rtl/>
        </w:rPr>
        <w:t xml:space="preserve"> </w:t>
      </w:r>
      <w:r w:rsidRPr="0094500F">
        <w:rPr>
          <w:rFonts w:ascii="Calibri" w:hAnsi="Calibri" w:hint="eastAsia"/>
          <w:b/>
          <w:bCs/>
          <w:noProof w:val="0"/>
          <w:rtl/>
        </w:rPr>
        <w:t>המחוזי</w:t>
      </w:r>
      <w:r w:rsidRPr="0094500F">
        <w:rPr>
          <w:rFonts w:ascii="Calibri" w:hAnsi="Calibri"/>
          <w:b/>
          <w:bCs/>
          <w:noProof w:val="0"/>
          <w:rtl/>
        </w:rPr>
        <w:t xml:space="preserve"> </w:t>
      </w:r>
      <w:r w:rsidRPr="0094500F">
        <w:rPr>
          <w:rFonts w:ascii="Calibri" w:hAnsi="Calibri" w:hint="eastAsia"/>
          <w:b/>
          <w:bCs/>
          <w:noProof w:val="0"/>
          <w:rtl/>
        </w:rPr>
        <w:t>בתוך</w:t>
      </w:r>
      <w:r w:rsidRPr="0094500F">
        <w:rPr>
          <w:rFonts w:ascii="Calibri" w:hAnsi="Calibri"/>
          <w:b/>
          <w:bCs/>
          <w:noProof w:val="0"/>
          <w:rtl/>
        </w:rPr>
        <w:t xml:space="preserve"> 15 </w:t>
      </w:r>
      <w:r w:rsidRPr="0094500F">
        <w:rPr>
          <w:rFonts w:ascii="Calibri" w:hAnsi="Calibri" w:hint="eastAsia"/>
          <w:b/>
          <w:bCs/>
          <w:noProof w:val="0"/>
          <w:rtl/>
        </w:rPr>
        <w:t>יום</w:t>
      </w:r>
      <w:r w:rsidRPr="0094500F">
        <w:rPr>
          <w:rFonts w:ascii="Calibri" w:hAnsi="Calibri"/>
          <w:b/>
          <w:bCs/>
          <w:noProof w:val="0"/>
          <w:rtl/>
        </w:rPr>
        <w:t xml:space="preserve">. </w:t>
      </w:r>
    </w:p>
    <w:p w:rsidR="0094500F" w:rsidRPr="0094500F" w:rsidRDefault="0094500F" w:rsidP="0094500F">
      <w:pPr>
        <w:spacing w:after="160" w:line="360" w:lineRule="auto"/>
        <w:rPr>
          <w:rFonts w:ascii="Calibri" w:hAnsi="Calibri"/>
          <w:b/>
          <w:bCs/>
          <w:noProof w:val="0"/>
        </w:rPr>
      </w:pPr>
      <w:r w:rsidRPr="0094500F">
        <w:rPr>
          <w:rFonts w:ascii="Calibri" w:hAnsi="Calibri" w:hint="eastAsia"/>
          <w:b/>
          <w:bCs/>
          <w:noProof w:val="0"/>
          <w:rtl/>
        </w:rPr>
        <w:t>המזכירות</w:t>
      </w:r>
      <w:r w:rsidRPr="0094500F">
        <w:rPr>
          <w:rFonts w:ascii="Calibri" w:hAnsi="Calibri"/>
          <w:b/>
          <w:bCs/>
          <w:noProof w:val="0"/>
          <w:rtl/>
        </w:rPr>
        <w:t xml:space="preserve"> </w:t>
      </w:r>
      <w:r w:rsidRPr="0094500F">
        <w:rPr>
          <w:rFonts w:ascii="Calibri" w:hAnsi="Calibri" w:hint="eastAsia"/>
          <w:b/>
          <w:bCs/>
          <w:noProof w:val="0"/>
          <w:rtl/>
        </w:rPr>
        <w:t>תמציא</w:t>
      </w:r>
      <w:r w:rsidRPr="0094500F">
        <w:rPr>
          <w:rFonts w:ascii="Calibri" w:hAnsi="Calibri"/>
          <w:b/>
          <w:bCs/>
          <w:noProof w:val="0"/>
          <w:rtl/>
        </w:rPr>
        <w:t xml:space="preserve"> </w:t>
      </w:r>
      <w:r w:rsidRPr="0094500F">
        <w:rPr>
          <w:rFonts w:ascii="Calibri" w:hAnsi="Calibri" w:hint="eastAsia"/>
          <w:b/>
          <w:bCs/>
          <w:noProof w:val="0"/>
          <w:rtl/>
        </w:rPr>
        <w:t>לצדדים</w:t>
      </w:r>
      <w:r w:rsidRPr="0094500F">
        <w:rPr>
          <w:rFonts w:ascii="Calibri" w:hAnsi="Calibri"/>
          <w:b/>
          <w:bCs/>
          <w:noProof w:val="0"/>
          <w:rtl/>
        </w:rPr>
        <w:t xml:space="preserve"> </w:t>
      </w:r>
      <w:r w:rsidRPr="0094500F">
        <w:rPr>
          <w:rFonts w:ascii="Calibri" w:hAnsi="Calibri" w:hint="eastAsia"/>
          <w:b/>
          <w:bCs/>
          <w:noProof w:val="0"/>
          <w:rtl/>
        </w:rPr>
        <w:t>העתק</w:t>
      </w:r>
      <w:r w:rsidRPr="0094500F">
        <w:rPr>
          <w:rFonts w:ascii="Calibri" w:hAnsi="Calibri"/>
          <w:b/>
          <w:bCs/>
          <w:noProof w:val="0"/>
          <w:rtl/>
        </w:rPr>
        <w:t xml:space="preserve"> </w:t>
      </w:r>
      <w:r w:rsidRPr="0094500F">
        <w:rPr>
          <w:rFonts w:ascii="Calibri" w:hAnsi="Calibri" w:hint="eastAsia"/>
          <w:b/>
          <w:bCs/>
          <w:noProof w:val="0"/>
          <w:rtl/>
        </w:rPr>
        <w:t>פסק</w:t>
      </w:r>
      <w:r w:rsidRPr="0094500F">
        <w:rPr>
          <w:rFonts w:ascii="Calibri" w:hAnsi="Calibri"/>
          <w:b/>
          <w:bCs/>
          <w:noProof w:val="0"/>
          <w:rtl/>
        </w:rPr>
        <w:t xml:space="preserve"> </w:t>
      </w:r>
      <w:r w:rsidRPr="0094500F">
        <w:rPr>
          <w:rFonts w:ascii="Calibri" w:hAnsi="Calibri" w:hint="eastAsia"/>
          <w:b/>
          <w:bCs/>
          <w:noProof w:val="0"/>
          <w:rtl/>
        </w:rPr>
        <w:t>הדין</w:t>
      </w:r>
      <w:r w:rsidRPr="0094500F">
        <w:rPr>
          <w:rFonts w:ascii="Calibri" w:hAnsi="Calibri"/>
          <w:b/>
          <w:bCs/>
          <w:noProof w:val="0"/>
          <w:rtl/>
        </w:rPr>
        <w:t xml:space="preserve"> </w:t>
      </w:r>
      <w:r w:rsidRPr="0094500F">
        <w:rPr>
          <w:rFonts w:ascii="Calibri" w:hAnsi="Calibri" w:hint="cs"/>
          <w:b/>
          <w:bCs/>
          <w:noProof w:val="0"/>
          <w:rtl/>
        </w:rPr>
        <w:t>.</w:t>
      </w:r>
    </w:p>
    <w:p w:rsidR="0094500F" w:rsidRPr="00B53A09" w:rsidRDefault="0094500F" w:rsidP="0094500F">
      <w:pPr>
        <w:spacing w:line="360" w:lineRule="auto"/>
        <w:jc w:val="both"/>
        <w:rPr>
          <w:rFonts w:ascii="Arial" w:hAnsi="Arial"/>
          <w:noProof w:val="0"/>
          <w:rtl/>
        </w:rPr>
      </w:pPr>
    </w:p>
    <w:p w:rsidR="0094500F" w:rsidRDefault="0094500F" w:rsidP="0094500F">
      <w:pPr>
        <w:spacing w:line="360" w:lineRule="auto"/>
        <w:jc w:val="both"/>
        <w:rPr>
          <w:rFonts w:ascii="Arial" w:hAnsi="Arial"/>
          <w:noProof w:val="0"/>
          <w:rtl/>
        </w:rPr>
      </w:pPr>
    </w:p>
    <w:p w:rsidR="0094500F" w:rsidRDefault="0094500F" w:rsidP="0094500F">
      <w:pPr>
        <w:spacing w:line="360" w:lineRule="auto"/>
        <w:jc w:val="both"/>
        <w:rPr>
          <w:rFonts w:ascii="Arial" w:hAnsi="Arial"/>
          <w:noProof w:val="0"/>
          <w:rtl/>
        </w:rPr>
      </w:pPr>
    </w:p>
    <w:p w:rsidR="0094500F" w:rsidRDefault="0094500F" w:rsidP="0094500F">
      <w:pPr>
        <w:spacing w:line="360" w:lineRule="auto"/>
        <w:jc w:val="both"/>
        <w:rPr>
          <w:rFonts w:ascii="Arial" w:hAnsi="Arial"/>
          <w:noProof w:val="0"/>
          <w:rtl/>
        </w:rPr>
      </w:pPr>
    </w:p>
    <w:p w:rsidR="0094500F" w:rsidRPr="00DD0CF8" w:rsidRDefault="00DD0CF8" w:rsidP="0094500F">
      <w:pPr>
        <w:spacing w:line="360" w:lineRule="auto"/>
        <w:jc w:val="both"/>
        <w:rPr>
          <w:rFonts w:ascii="Arial" w:hAnsi="Arial"/>
          <w:noProof w:val="0"/>
          <w:color w:val="FFFFFF"/>
          <w:sz w:val="2"/>
          <w:szCs w:val="2"/>
          <w:rtl/>
        </w:rPr>
      </w:pPr>
      <w:r w:rsidRPr="00DD0CF8">
        <w:rPr>
          <w:rFonts w:ascii="Arial" w:hAnsi="Arial"/>
          <w:noProof w:val="0"/>
          <w:color w:val="FFFFFF"/>
          <w:sz w:val="2"/>
          <w:szCs w:val="2"/>
          <w:rtl/>
        </w:rPr>
        <w:t>5129371</w:t>
      </w:r>
    </w:p>
    <w:p w:rsidR="0094500F" w:rsidRDefault="00DD0CF8" w:rsidP="0094500F">
      <w:pPr>
        <w:spacing w:line="360" w:lineRule="auto"/>
        <w:jc w:val="both"/>
        <w:rPr>
          <w:rFonts w:ascii="Arial" w:hAnsi="Arial"/>
          <w:noProof w:val="0"/>
          <w:rtl/>
        </w:rPr>
      </w:pPr>
      <w:r w:rsidRPr="00DD0CF8">
        <w:rPr>
          <w:rFonts w:ascii="Arial" w:hAnsi="Arial"/>
          <w:noProof w:val="0"/>
          <w:color w:val="FFFFFF"/>
          <w:sz w:val="2"/>
          <w:szCs w:val="2"/>
          <w:rtl/>
        </w:rPr>
        <w:t>54678313</w:t>
      </w:r>
      <w:r>
        <w:rPr>
          <w:rFonts w:ascii="Arial" w:hAnsi="Arial"/>
          <w:noProof w:val="0"/>
          <w:rtl/>
        </w:rPr>
        <w:t xml:space="preserve">ניתן היום,  י"ט אב תשע"ח, 31 יולי 2018, בהעדר הצדדים. </w:t>
      </w:r>
      <w:r w:rsidR="0094500F">
        <w:rPr>
          <w:rFonts w:ascii="Arial" w:hAnsi="Arial" w:hint="cs"/>
          <w:noProof w:val="0"/>
          <w:rtl/>
        </w:rPr>
        <w:tab/>
      </w:r>
      <w:r w:rsidR="0094500F">
        <w:rPr>
          <w:rFonts w:ascii="Arial" w:hAnsi="Arial" w:hint="cs"/>
          <w:noProof w:val="0"/>
          <w:rtl/>
        </w:rPr>
        <w:tab/>
      </w:r>
      <w:r w:rsidR="0094500F">
        <w:rPr>
          <w:rFonts w:ascii="Arial" w:hAnsi="Arial" w:hint="cs"/>
          <w:noProof w:val="0"/>
          <w:rtl/>
        </w:rPr>
        <w:tab/>
      </w:r>
      <w:r w:rsidR="0094500F">
        <w:rPr>
          <w:rFonts w:ascii="Arial" w:hAnsi="Arial" w:hint="cs"/>
          <w:noProof w:val="0"/>
          <w:rtl/>
        </w:rPr>
        <w:tab/>
      </w:r>
      <w:r w:rsidR="0094500F">
        <w:rPr>
          <w:rFonts w:ascii="Arial" w:hAnsi="Arial" w:hint="cs"/>
          <w:noProof w:val="0"/>
          <w:rtl/>
        </w:rPr>
        <w:tab/>
      </w:r>
      <w:r w:rsidR="0094500F">
        <w:rPr>
          <w:rFonts w:ascii="Arial" w:hAnsi="Arial"/>
          <w:noProof w:val="0"/>
          <w:rtl/>
        </w:rPr>
        <w:tab/>
      </w:r>
      <w:r w:rsidR="0094500F">
        <w:rPr>
          <w:rFonts w:ascii="Arial" w:hAnsi="Arial" w:hint="cs"/>
          <w:noProof w:val="0"/>
          <w:rtl/>
        </w:rPr>
        <w:tab/>
      </w:r>
      <w:r w:rsidR="0094500F">
        <w:rPr>
          <w:rFonts w:ascii="Arial" w:hAnsi="Arial" w:hint="cs"/>
          <w:noProof w:val="0"/>
          <w:rtl/>
        </w:rPr>
        <w:tab/>
      </w:r>
      <w:r w:rsidR="0094500F">
        <w:rPr>
          <w:rFonts w:ascii="Arial" w:hAnsi="Arial"/>
          <w:noProof w:val="0"/>
          <w:rtl/>
        </w:rPr>
        <w:t xml:space="preserve"> </w:t>
      </w:r>
    </w:p>
    <w:p w:rsidR="0094500F" w:rsidRDefault="0094500F" w:rsidP="0094500F">
      <w:pPr>
        <w:spacing w:line="360" w:lineRule="auto"/>
        <w:ind w:left="3600" w:firstLine="720"/>
      </w:pPr>
      <w:r>
        <w:rPr>
          <w:rtl/>
        </w:rPr>
        <w:t xml:space="preserve">     </w:t>
      </w:r>
    </w:p>
    <w:p w:rsidR="0094500F" w:rsidRDefault="0094500F" w:rsidP="0094500F">
      <w:pPr>
        <w:spacing w:line="360" w:lineRule="auto"/>
        <w:ind w:left="3600" w:firstLine="720"/>
        <w:rPr>
          <w:rFonts w:ascii="Arial" w:hAnsi="Arial"/>
          <w:noProof w:val="0"/>
          <w:rtl/>
        </w:rPr>
      </w:pPr>
    </w:p>
    <w:p w:rsidR="0094500F" w:rsidRDefault="0094500F" w:rsidP="0094500F">
      <w:pPr>
        <w:spacing w:line="360" w:lineRule="auto"/>
        <w:jc w:val="both"/>
        <w:rPr>
          <w:rFonts w:ascii="Arial" w:hAnsi="Arial"/>
          <w:noProof w:val="0"/>
          <w:rtl/>
        </w:rPr>
      </w:pPr>
    </w:p>
    <w:p w:rsidR="0094500F" w:rsidRDefault="0094500F" w:rsidP="0094500F">
      <w:pPr>
        <w:spacing w:line="360" w:lineRule="auto"/>
        <w:jc w:val="both"/>
        <w:rPr>
          <w:rFonts w:ascii="Arial" w:hAnsi="Arial"/>
          <w:noProof w:val="0"/>
          <w:rtl/>
        </w:rPr>
      </w:pPr>
    </w:p>
    <w:p w:rsidR="007E1FBF" w:rsidRPr="00DD0CF8" w:rsidRDefault="007E1FBF" w:rsidP="00DD0CF8">
      <w:pPr>
        <w:keepNext/>
        <w:rPr>
          <w:rFonts w:ascii="David" w:hAnsi="David"/>
          <w:color w:val="000000"/>
          <w:sz w:val="22"/>
          <w:szCs w:val="22"/>
          <w:rtl/>
        </w:rPr>
      </w:pPr>
    </w:p>
    <w:p w:rsidR="00DD0CF8" w:rsidRPr="00DD0CF8" w:rsidRDefault="00DD0CF8" w:rsidP="00DD0CF8">
      <w:pPr>
        <w:keepNext/>
        <w:rPr>
          <w:rFonts w:ascii="David" w:hAnsi="David"/>
          <w:color w:val="000000"/>
          <w:sz w:val="22"/>
          <w:szCs w:val="22"/>
          <w:rtl/>
        </w:rPr>
      </w:pPr>
      <w:r w:rsidRPr="00DD0CF8">
        <w:rPr>
          <w:rFonts w:ascii="David" w:hAnsi="David"/>
          <w:color w:val="000000"/>
          <w:sz w:val="22"/>
          <w:szCs w:val="22"/>
          <w:rtl/>
        </w:rPr>
        <w:t>דלית ורד 54678313</w:t>
      </w:r>
    </w:p>
    <w:p w:rsidR="00DD0CF8" w:rsidRDefault="00DD0CF8" w:rsidP="00DD0CF8">
      <w:r w:rsidRPr="00DD0CF8">
        <w:rPr>
          <w:color w:val="000000"/>
          <w:rtl/>
        </w:rPr>
        <w:t>נוסח מסמך זה כפוף לשינויי ניסוח ועריכה</w:t>
      </w:r>
    </w:p>
    <w:p w:rsidR="00DD0CF8" w:rsidRDefault="00DD0CF8" w:rsidP="00DD0CF8">
      <w:pPr>
        <w:rPr>
          <w:rtl/>
        </w:rPr>
      </w:pPr>
    </w:p>
    <w:p w:rsidR="00DD0CF8" w:rsidRDefault="008022AB" w:rsidP="00DD0CF8">
      <w:pPr>
        <w:jc w:val="center"/>
        <w:rPr>
          <w:color w:val="0000FF"/>
          <w:u w:val="single"/>
        </w:rPr>
      </w:pPr>
      <w:hyperlink r:id="rId28" w:history="1">
        <w:r w:rsidR="00DD0CF8">
          <w:rPr>
            <w:color w:val="0000FF"/>
            <w:u w:val="single"/>
            <w:rtl/>
          </w:rPr>
          <w:t>בעניין עריכה ושינויים במסמכי פסיקה, חקיקה ועוד באתר נבו – הקש כאן</w:t>
        </w:r>
      </w:hyperlink>
    </w:p>
    <w:p w:rsidR="00DD0CF8" w:rsidRPr="00DD0CF8" w:rsidRDefault="00DD0CF8" w:rsidP="00DD0CF8">
      <w:pPr>
        <w:jc w:val="center"/>
        <w:rPr>
          <w:color w:val="0000FF"/>
          <w:u w:val="single"/>
        </w:rPr>
      </w:pPr>
    </w:p>
    <w:sectPr w:rsidR="00DD0CF8" w:rsidRPr="00DD0CF8" w:rsidSect="00DD0CF8">
      <w:headerReference w:type="even" r:id="rId29"/>
      <w:headerReference w:type="default" r:id="rId30"/>
      <w:footerReference w:type="even" r:id="rId31"/>
      <w:footerReference w:type="default" r:id="rId32"/>
      <w:pgSz w:w="11907" w:h="16840" w:code="9"/>
      <w:pgMar w:top="1701" w:right="1701" w:bottom="1134" w:left="1701" w:header="720" w:footer="737"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DCD" w:rsidRDefault="00830DCD" w:rsidP="002303A8">
      <w:r>
        <w:separator/>
      </w:r>
    </w:p>
  </w:endnote>
  <w:endnote w:type="continuationSeparator" w:id="0">
    <w:p w:rsidR="00830DCD" w:rsidRDefault="00830DCD" w:rsidP="00230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F8" w:rsidRDefault="008022AB" w:rsidP="00DD0CF8">
    <w:pPr>
      <w:pStyle w:val="a5"/>
      <w:jc w:val="center"/>
      <w:rPr>
        <w:rFonts w:ascii="FrankRuehl" w:hAnsi="FrankRuehl" w:cs="FrankRuehl"/>
      </w:rPr>
    </w:pPr>
    <w:r>
      <w:rPr>
        <w:rFonts w:ascii="FrankRuehl" w:hAnsi="FrankRuehl" w:cs="FrankRuehl"/>
        <w:rtl/>
      </w:rPr>
      <w:fldChar w:fldCharType="begin"/>
    </w:r>
    <w:r w:rsidR="00DD0CF8">
      <w:rPr>
        <w:rFonts w:ascii="FrankRuehl" w:hAnsi="FrankRuehl" w:cs="FrankRuehl"/>
        <w:rtl/>
      </w:rPr>
      <w:instrText xml:space="preserve"> </w:instrText>
    </w:r>
    <w:r w:rsidR="00DD0CF8">
      <w:rPr>
        <w:rFonts w:ascii="FrankRuehl" w:hAnsi="FrankRuehl" w:cs="FrankRuehl"/>
      </w:rPr>
      <w:instrText>PAGE</w:instrText>
    </w:r>
    <w:r w:rsidR="00DD0CF8">
      <w:rPr>
        <w:rFonts w:ascii="FrankRuehl" w:hAnsi="FrankRuehl" w:cs="FrankRuehl"/>
        <w:rtl/>
      </w:rPr>
      <w:instrText xml:space="preserve">  \* </w:instrText>
    </w:r>
    <w:r w:rsidR="00DD0CF8">
      <w:rPr>
        <w:rFonts w:ascii="FrankRuehl" w:hAnsi="FrankRuehl" w:cs="FrankRuehl"/>
      </w:rPr>
      <w:instrText>MERGEFORMAT</w:instrText>
    </w:r>
    <w:r w:rsidR="00DD0CF8">
      <w:rPr>
        <w:rFonts w:ascii="FrankRuehl" w:hAnsi="FrankRuehl" w:cs="FrankRuehl"/>
        <w:rtl/>
      </w:rPr>
      <w:instrText xml:space="preserve"> </w:instrText>
    </w:r>
    <w:r>
      <w:rPr>
        <w:rFonts w:ascii="FrankRuehl" w:hAnsi="FrankRuehl" w:cs="FrankRuehl"/>
        <w:rtl/>
      </w:rPr>
      <w:fldChar w:fldCharType="separate"/>
    </w:r>
    <w:r w:rsidR="00DD0CF8">
      <w:rPr>
        <w:rFonts w:ascii="FrankRuehl" w:hAnsi="FrankRuehl" w:cs="FrankRuehl"/>
        <w:rtl/>
      </w:rPr>
      <w:t>1</w:t>
    </w:r>
    <w:r>
      <w:rPr>
        <w:rFonts w:ascii="FrankRuehl" w:hAnsi="FrankRuehl" w:cs="FrankRuehl"/>
        <w:rtl/>
      </w:rPr>
      <w:fldChar w:fldCharType="end"/>
    </w:r>
  </w:p>
  <w:p w:rsidR="00DD0CF8" w:rsidRPr="00DD0CF8" w:rsidRDefault="00E51367" w:rsidP="00DD0CF8">
    <w:pPr>
      <w:pStyle w:val="a5"/>
      <w:pBdr>
        <w:top w:val="single" w:sz="4" w:space="1" w:color="auto"/>
        <w:between w:val="single" w:sz="4" w:space="0" w:color="auto"/>
      </w:pBdr>
      <w:spacing w:after="60"/>
      <w:jc w:val="center"/>
      <w:rPr>
        <w:rFonts w:ascii="FrankRuehl" w:hAnsi="FrankRuehl" w:cs="FrankRuehl"/>
        <w:color w:val="000000"/>
      </w:rPr>
    </w:pPr>
    <w:r>
      <w:rPr>
        <w:rFonts w:ascii="FrankRuehl" w:hAnsi="FrankRuehl" w:cs="FrankRuehl"/>
        <w:color w:val="000000"/>
      </w:rPr>
      <w:drawing>
        <wp:inline distT="0" distB="0" distL="0" distR="0">
          <wp:extent cx="556260" cy="228600"/>
          <wp:effectExtent l="19050" t="0" r="0" b="0"/>
          <wp:docPr id="1" name="תמונה 1"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ologo2"/>
                  <pic:cNvPicPr>
                    <a:picLocks noChangeAspect="1" noChangeArrowheads="1"/>
                  </pic:cNvPicPr>
                </pic:nvPicPr>
                <pic:blipFill>
                  <a:blip r:embed="rId1"/>
                  <a:srcRect/>
                  <a:stretch>
                    <a:fillRect/>
                  </a:stretch>
                </pic:blipFill>
                <pic:spPr bwMode="auto">
                  <a:xfrm>
                    <a:off x="0" y="0"/>
                    <a:ext cx="556260" cy="2286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F8" w:rsidRDefault="008022AB" w:rsidP="00DD0CF8">
    <w:pPr>
      <w:pStyle w:val="a5"/>
      <w:jc w:val="center"/>
      <w:rPr>
        <w:rStyle w:val="a8"/>
        <w:rFonts w:ascii="FrankRuehl" w:hAnsi="FrankRuehl" w:cs="FrankRuehl"/>
      </w:rPr>
    </w:pPr>
    <w:r>
      <w:rPr>
        <w:rStyle w:val="a8"/>
        <w:rFonts w:ascii="FrankRuehl" w:hAnsi="FrankRuehl" w:cs="FrankRuehl"/>
        <w:rtl/>
      </w:rPr>
      <w:fldChar w:fldCharType="begin"/>
    </w:r>
    <w:r w:rsidR="00DD0CF8">
      <w:rPr>
        <w:rStyle w:val="a8"/>
        <w:rFonts w:ascii="FrankRuehl" w:hAnsi="FrankRuehl" w:cs="FrankRuehl"/>
        <w:rtl/>
      </w:rPr>
      <w:instrText xml:space="preserve"> </w:instrText>
    </w:r>
    <w:r w:rsidR="00DD0CF8">
      <w:rPr>
        <w:rStyle w:val="a8"/>
        <w:rFonts w:ascii="FrankRuehl" w:hAnsi="FrankRuehl" w:cs="FrankRuehl"/>
      </w:rPr>
      <w:instrText>PAGE</w:instrText>
    </w:r>
    <w:r w:rsidR="00DD0CF8">
      <w:rPr>
        <w:rStyle w:val="a8"/>
        <w:rFonts w:ascii="FrankRuehl" w:hAnsi="FrankRuehl" w:cs="FrankRuehl"/>
        <w:rtl/>
      </w:rPr>
      <w:instrText xml:space="preserve">  \* </w:instrText>
    </w:r>
    <w:r w:rsidR="00DD0CF8">
      <w:rPr>
        <w:rStyle w:val="a8"/>
        <w:rFonts w:ascii="FrankRuehl" w:hAnsi="FrankRuehl" w:cs="FrankRuehl"/>
      </w:rPr>
      <w:instrText>MERGEFORMAT</w:instrText>
    </w:r>
    <w:r w:rsidR="00DD0CF8">
      <w:rPr>
        <w:rStyle w:val="a8"/>
        <w:rFonts w:ascii="FrankRuehl" w:hAnsi="FrankRuehl" w:cs="FrankRuehl"/>
        <w:rtl/>
      </w:rPr>
      <w:instrText xml:space="preserve"> </w:instrText>
    </w:r>
    <w:r>
      <w:rPr>
        <w:rStyle w:val="a8"/>
        <w:rFonts w:ascii="FrankRuehl" w:hAnsi="FrankRuehl" w:cs="FrankRuehl"/>
        <w:rtl/>
      </w:rPr>
      <w:fldChar w:fldCharType="separate"/>
    </w:r>
    <w:r w:rsidR="0082555C">
      <w:rPr>
        <w:rStyle w:val="a8"/>
        <w:rFonts w:ascii="FrankRuehl" w:hAnsi="FrankRuehl" w:cs="FrankRuehl"/>
        <w:rtl/>
      </w:rPr>
      <w:t>1</w:t>
    </w:r>
    <w:r>
      <w:rPr>
        <w:rStyle w:val="a8"/>
        <w:rFonts w:ascii="FrankRuehl" w:hAnsi="FrankRuehl" w:cs="FrankRuehl"/>
        <w:rtl/>
      </w:rPr>
      <w:fldChar w:fldCharType="end"/>
    </w:r>
  </w:p>
  <w:p w:rsidR="00DD713D" w:rsidRPr="00DD0CF8" w:rsidRDefault="00E51367" w:rsidP="00DD0CF8">
    <w:pPr>
      <w:pStyle w:val="a5"/>
      <w:pBdr>
        <w:top w:val="single" w:sz="4" w:space="1" w:color="auto"/>
        <w:between w:val="single" w:sz="4" w:space="0" w:color="auto"/>
      </w:pBdr>
      <w:spacing w:after="60"/>
      <w:jc w:val="center"/>
      <w:rPr>
        <w:rStyle w:val="a8"/>
        <w:rFonts w:ascii="FrankRuehl" w:hAnsi="FrankRuehl" w:cs="FrankRuehl"/>
        <w:color w:val="000000"/>
      </w:rPr>
    </w:pPr>
    <w:r>
      <w:rPr>
        <w:rFonts w:ascii="FrankRuehl" w:hAnsi="FrankRuehl" w:cs="FrankRuehl"/>
        <w:color w:val="000000"/>
      </w:rPr>
      <w:drawing>
        <wp:inline distT="0" distB="0" distL="0" distR="0">
          <wp:extent cx="556260" cy="228600"/>
          <wp:effectExtent l="19050" t="0" r="0" b="0"/>
          <wp:docPr id="2" name="תמונה 2"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ologo2"/>
                  <pic:cNvPicPr>
                    <a:picLocks noChangeAspect="1" noChangeArrowheads="1"/>
                  </pic:cNvPicPr>
                </pic:nvPicPr>
                <pic:blipFill>
                  <a:blip r:embed="rId1"/>
                  <a:srcRect/>
                  <a:stretch>
                    <a:fillRect/>
                  </a:stretch>
                </pic:blipFill>
                <pic:spPr bwMode="auto">
                  <a:xfrm>
                    <a:off x="0" y="0"/>
                    <a:ext cx="556260" cy="228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DCD" w:rsidRDefault="00830DCD" w:rsidP="002303A8">
      <w:r>
        <w:separator/>
      </w:r>
    </w:p>
  </w:footnote>
  <w:footnote w:type="continuationSeparator" w:id="0">
    <w:p w:rsidR="00830DCD" w:rsidRDefault="00830DCD" w:rsidP="00230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F8" w:rsidRPr="00DD0CF8" w:rsidRDefault="00DD0CF8" w:rsidP="00DD0CF8">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תק (ת"א) 42367-11-17</w:t>
    </w:r>
    <w:r>
      <w:rPr>
        <w:rFonts w:ascii="David" w:hAnsi="David"/>
        <w:color w:val="000000"/>
        <w:sz w:val="22"/>
        <w:szCs w:val="22"/>
        <w:rtl/>
      </w:rPr>
      <w:tab/>
      <w:t xml:space="preserve"> רעות עוזרי נ' בית החוגים והאומנויות בע"מ</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F8" w:rsidRPr="00DD0CF8" w:rsidRDefault="00DD0CF8" w:rsidP="00DD0CF8">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תק (ת"א) 42367-11-17</w:t>
    </w:r>
    <w:r>
      <w:rPr>
        <w:rFonts w:ascii="David" w:hAnsi="David"/>
        <w:color w:val="000000"/>
        <w:sz w:val="22"/>
        <w:szCs w:val="22"/>
        <w:rtl/>
      </w:rPr>
      <w:tab/>
      <w:t xml:space="preserve"> רעות עוזרי נ' בית החוגים והאומנויות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4F48"/>
    <w:multiLevelType w:val="multilevel"/>
    <w:tmpl w:val="1BF04C4E"/>
    <w:lvl w:ilvl="0">
      <w:start w:val="1"/>
      <w:numFmt w:val="decimal"/>
      <w:lvlText w:val="%1."/>
      <w:lvlJc w:val="left"/>
      <w:pPr>
        <w:ind w:left="1976" w:hanging="360"/>
      </w:pPr>
      <w:rPr>
        <w:rFonts w:cs="David" w:hint="cs"/>
      </w:rPr>
    </w:lvl>
    <w:lvl w:ilvl="1">
      <w:start w:val="1"/>
      <w:numFmt w:val="hebrew1"/>
      <w:lvlText w:val="%2."/>
      <w:lvlJc w:val="left"/>
      <w:pPr>
        <w:ind w:left="2696" w:hanging="360"/>
      </w:pPr>
      <w:rPr>
        <w:rFonts w:cs="David" w:hint="cs"/>
      </w:rPr>
    </w:lvl>
    <w:lvl w:ilvl="2">
      <w:start w:val="1"/>
      <w:numFmt w:val="decimal"/>
      <w:lvlText w:val="%3)"/>
      <w:lvlJc w:val="right"/>
      <w:pPr>
        <w:ind w:left="3416" w:hanging="180"/>
      </w:pPr>
      <w:rPr>
        <w:rFonts w:cs="David" w:hint="cs"/>
      </w:rPr>
    </w:lvl>
    <w:lvl w:ilvl="3">
      <w:start w:val="1"/>
      <w:numFmt w:val="hebrew1"/>
      <w:lvlText w:val="%4)"/>
      <w:lvlJc w:val="left"/>
      <w:pPr>
        <w:ind w:left="4136" w:hanging="360"/>
      </w:pPr>
      <w:rPr>
        <w:rFonts w:cs="David" w:hint="cs"/>
      </w:rPr>
    </w:lvl>
    <w:lvl w:ilvl="4">
      <w:start w:val="1"/>
      <w:numFmt w:val="decimal"/>
      <w:lvlText w:val="(%5)"/>
      <w:lvlJc w:val="left"/>
      <w:pPr>
        <w:ind w:left="4856" w:hanging="360"/>
      </w:pPr>
      <w:rPr>
        <w:rFonts w:cs="Times New Roman" w:hint="default"/>
      </w:rPr>
    </w:lvl>
    <w:lvl w:ilvl="5">
      <w:start w:val="1"/>
      <w:numFmt w:val="hebrew1"/>
      <w:lvlText w:val="(%6)"/>
      <w:lvlJc w:val="right"/>
      <w:pPr>
        <w:ind w:left="5576" w:hanging="180"/>
      </w:pPr>
      <w:rPr>
        <w:rFonts w:cs="David" w:hint="cs"/>
      </w:rPr>
    </w:lvl>
    <w:lvl w:ilvl="6">
      <w:start w:val="1"/>
      <w:numFmt w:val="decimal"/>
      <w:lvlText w:val="%7."/>
      <w:lvlJc w:val="left"/>
      <w:pPr>
        <w:ind w:left="6296" w:hanging="360"/>
      </w:pPr>
      <w:rPr>
        <w:rFonts w:cs="David" w:hint="cs"/>
      </w:rPr>
    </w:lvl>
    <w:lvl w:ilvl="7">
      <w:start w:val="1"/>
      <w:numFmt w:val="lowerLetter"/>
      <w:lvlText w:val="%8."/>
      <w:lvlJc w:val="left"/>
      <w:pPr>
        <w:ind w:left="7016" w:hanging="360"/>
      </w:pPr>
      <w:rPr>
        <w:rFonts w:cs="Times New Roman" w:hint="default"/>
      </w:rPr>
    </w:lvl>
    <w:lvl w:ilvl="8">
      <w:start w:val="1"/>
      <w:numFmt w:val="lowerRoman"/>
      <w:lvlText w:val="%9."/>
      <w:lvlJc w:val="right"/>
      <w:pPr>
        <w:ind w:left="7736" w:hanging="180"/>
      </w:pPr>
      <w:rPr>
        <w:rFonts w:cs="Times New Roman" w:hint="default"/>
      </w:rPr>
    </w:lvl>
  </w:abstractNum>
  <w:abstractNum w:abstractNumId="1">
    <w:nsid w:val="6D9A7AF9"/>
    <w:multiLevelType w:val="multilevel"/>
    <w:tmpl w:val="1BF04C4E"/>
    <w:lvl w:ilvl="0">
      <w:start w:val="1"/>
      <w:numFmt w:val="decimal"/>
      <w:lvlText w:val="%1."/>
      <w:lvlJc w:val="left"/>
      <w:pPr>
        <w:ind w:left="1976" w:hanging="360"/>
      </w:pPr>
      <w:rPr>
        <w:rFonts w:cs="David" w:hint="cs"/>
      </w:rPr>
    </w:lvl>
    <w:lvl w:ilvl="1">
      <w:start w:val="1"/>
      <w:numFmt w:val="hebrew1"/>
      <w:lvlText w:val="%2."/>
      <w:lvlJc w:val="left"/>
      <w:pPr>
        <w:ind w:left="2696" w:hanging="360"/>
      </w:pPr>
      <w:rPr>
        <w:rFonts w:cs="David" w:hint="cs"/>
      </w:rPr>
    </w:lvl>
    <w:lvl w:ilvl="2">
      <w:start w:val="1"/>
      <w:numFmt w:val="decimal"/>
      <w:lvlText w:val="%3)"/>
      <w:lvlJc w:val="right"/>
      <w:pPr>
        <w:ind w:left="3416" w:hanging="180"/>
      </w:pPr>
      <w:rPr>
        <w:rFonts w:cs="David" w:hint="cs"/>
      </w:rPr>
    </w:lvl>
    <w:lvl w:ilvl="3">
      <w:start w:val="1"/>
      <w:numFmt w:val="hebrew1"/>
      <w:lvlText w:val="%4)"/>
      <w:lvlJc w:val="left"/>
      <w:pPr>
        <w:ind w:left="4136" w:hanging="360"/>
      </w:pPr>
      <w:rPr>
        <w:rFonts w:cs="David" w:hint="cs"/>
      </w:rPr>
    </w:lvl>
    <w:lvl w:ilvl="4">
      <w:start w:val="1"/>
      <w:numFmt w:val="decimal"/>
      <w:lvlText w:val="(%5)"/>
      <w:lvlJc w:val="left"/>
      <w:pPr>
        <w:ind w:left="4856" w:hanging="360"/>
      </w:pPr>
      <w:rPr>
        <w:rFonts w:cs="Times New Roman" w:hint="default"/>
      </w:rPr>
    </w:lvl>
    <w:lvl w:ilvl="5">
      <w:start w:val="1"/>
      <w:numFmt w:val="hebrew1"/>
      <w:lvlText w:val="(%6)"/>
      <w:lvlJc w:val="right"/>
      <w:pPr>
        <w:ind w:left="5576" w:hanging="180"/>
      </w:pPr>
      <w:rPr>
        <w:rFonts w:cs="David" w:hint="cs"/>
      </w:rPr>
    </w:lvl>
    <w:lvl w:ilvl="6">
      <w:start w:val="1"/>
      <w:numFmt w:val="decimal"/>
      <w:lvlText w:val="%7."/>
      <w:lvlJc w:val="left"/>
      <w:pPr>
        <w:ind w:left="6296" w:hanging="360"/>
      </w:pPr>
      <w:rPr>
        <w:rFonts w:cs="David" w:hint="cs"/>
      </w:rPr>
    </w:lvl>
    <w:lvl w:ilvl="7">
      <w:start w:val="1"/>
      <w:numFmt w:val="lowerLetter"/>
      <w:lvlText w:val="%8."/>
      <w:lvlJc w:val="left"/>
      <w:pPr>
        <w:ind w:left="7016" w:hanging="360"/>
      </w:pPr>
      <w:rPr>
        <w:rFonts w:cs="Times New Roman" w:hint="default"/>
      </w:rPr>
    </w:lvl>
    <w:lvl w:ilvl="8">
      <w:start w:val="1"/>
      <w:numFmt w:val="lowerRoman"/>
      <w:lvlText w:val="%9."/>
      <w:lvlJc w:val="right"/>
      <w:pPr>
        <w:ind w:left="7736" w:hanging="180"/>
      </w:pPr>
      <w:rPr>
        <w:rFonts w:cs="Times New Roman" w:hint="default"/>
      </w:rPr>
    </w:lvl>
  </w:abstractNum>
  <w:abstractNum w:abstractNumId="2">
    <w:nsid w:val="71D668B4"/>
    <w:multiLevelType w:val="multilevel"/>
    <w:tmpl w:val="1BF04C4E"/>
    <w:lvl w:ilvl="0">
      <w:start w:val="1"/>
      <w:numFmt w:val="decimal"/>
      <w:lvlText w:val="%1."/>
      <w:lvlJc w:val="left"/>
      <w:pPr>
        <w:ind w:left="1976" w:hanging="360"/>
      </w:pPr>
      <w:rPr>
        <w:rFonts w:cs="David" w:hint="cs"/>
      </w:rPr>
    </w:lvl>
    <w:lvl w:ilvl="1">
      <w:start w:val="1"/>
      <w:numFmt w:val="hebrew1"/>
      <w:lvlText w:val="%2."/>
      <w:lvlJc w:val="left"/>
      <w:pPr>
        <w:ind w:left="2696" w:hanging="360"/>
      </w:pPr>
      <w:rPr>
        <w:rFonts w:cs="David" w:hint="cs"/>
      </w:rPr>
    </w:lvl>
    <w:lvl w:ilvl="2">
      <w:start w:val="1"/>
      <w:numFmt w:val="decimal"/>
      <w:lvlText w:val="%3)"/>
      <w:lvlJc w:val="right"/>
      <w:pPr>
        <w:ind w:left="3416" w:hanging="180"/>
      </w:pPr>
      <w:rPr>
        <w:rFonts w:cs="David" w:hint="cs"/>
      </w:rPr>
    </w:lvl>
    <w:lvl w:ilvl="3">
      <w:start w:val="1"/>
      <w:numFmt w:val="hebrew1"/>
      <w:lvlText w:val="%4)"/>
      <w:lvlJc w:val="left"/>
      <w:pPr>
        <w:ind w:left="4136" w:hanging="360"/>
      </w:pPr>
      <w:rPr>
        <w:rFonts w:cs="David" w:hint="cs"/>
      </w:rPr>
    </w:lvl>
    <w:lvl w:ilvl="4">
      <w:start w:val="1"/>
      <w:numFmt w:val="decimal"/>
      <w:lvlText w:val="(%5)"/>
      <w:lvlJc w:val="left"/>
      <w:pPr>
        <w:ind w:left="4856" w:hanging="360"/>
      </w:pPr>
      <w:rPr>
        <w:rFonts w:cs="Times New Roman" w:hint="default"/>
      </w:rPr>
    </w:lvl>
    <w:lvl w:ilvl="5">
      <w:start w:val="1"/>
      <w:numFmt w:val="hebrew1"/>
      <w:lvlText w:val="(%6)"/>
      <w:lvlJc w:val="right"/>
      <w:pPr>
        <w:ind w:left="5576" w:hanging="180"/>
      </w:pPr>
      <w:rPr>
        <w:rFonts w:cs="David" w:hint="cs"/>
      </w:rPr>
    </w:lvl>
    <w:lvl w:ilvl="6">
      <w:start w:val="1"/>
      <w:numFmt w:val="decimal"/>
      <w:lvlText w:val="%7."/>
      <w:lvlJc w:val="left"/>
      <w:pPr>
        <w:ind w:left="6296" w:hanging="360"/>
      </w:pPr>
      <w:rPr>
        <w:rFonts w:cs="David" w:hint="cs"/>
      </w:rPr>
    </w:lvl>
    <w:lvl w:ilvl="7">
      <w:start w:val="1"/>
      <w:numFmt w:val="lowerLetter"/>
      <w:lvlText w:val="%8."/>
      <w:lvlJc w:val="left"/>
      <w:pPr>
        <w:ind w:left="7016" w:hanging="360"/>
      </w:pPr>
      <w:rPr>
        <w:rFonts w:cs="Times New Roman" w:hint="default"/>
      </w:rPr>
    </w:lvl>
    <w:lvl w:ilvl="8">
      <w:start w:val="1"/>
      <w:numFmt w:val="lowerRoman"/>
      <w:lvlText w:val="%9."/>
      <w:lvlJc w:val="right"/>
      <w:pPr>
        <w:ind w:left="7736" w:hanging="18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docVars>
    <w:docVar w:name="MyInfo" w:val="This document was extracted from Nevo's site"/>
  </w:docVars>
  <w:rsids>
    <w:rsidRoot w:val="0094500F"/>
    <w:rsid w:val="002303A8"/>
    <w:rsid w:val="003150D5"/>
    <w:rsid w:val="0063507D"/>
    <w:rsid w:val="007E1FBF"/>
    <w:rsid w:val="008022AB"/>
    <w:rsid w:val="0082555C"/>
    <w:rsid w:val="00830DCD"/>
    <w:rsid w:val="00893309"/>
    <w:rsid w:val="0094500F"/>
    <w:rsid w:val="00DD0CF8"/>
    <w:rsid w:val="00DD713D"/>
    <w:rsid w:val="00E51367"/>
    <w:rsid w:val="00F54492"/>
    <w:rsid w:val="00F77E8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00F"/>
    <w:pPr>
      <w:bidi/>
    </w:pPr>
    <w:rPr>
      <w:rFonts w:ascii="Times New Roman" w:eastAsia="Times New Roman" w:hAnsi="Times New Roman" w:cs="David"/>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500F"/>
    <w:pPr>
      <w:tabs>
        <w:tab w:val="center" w:pos="4153"/>
        <w:tab w:val="right" w:pos="8306"/>
      </w:tabs>
    </w:pPr>
  </w:style>
  <w:style w:type="character" w:customStyle="1" w:styleId="a4">
    <w:name w:val="כותרת עליונה תו"/>
    <w:link w:val="a3"/>
    <w:rsid w:val="0094500F"/>
    <w:rPr>
      <w:rFonts w:ascii="Times New Roman" w:eastAsia="Times New Roman" w:hAnsi="Times New Roman" w:cs="David"/>
      <w:noProof/>
      <w:sz w:val="24"/>
      <w:szCs w:val="24"/>
    </w:rPr>
  </w:style>
  <w:style w:type="paragraph" w:styleId="a5">
    <w:name w:val="footer"/>
    <w:basedOn w:val="a"/>
    <w:link w:val="a6"/>
    <w:rsid w:val="0094500F"/>
    <w:pPr>
      <w:tabs>
        <w:tab w:val="center" w:pos="4153"/>
        <w:tab w:val="right" w:pos="8306"/>
      </w:tabs>
    </w:pPr>
  </w:style>
  <w:style w:type="character" w:customStyle="1" w:styleId="a6">
    <w:name w:val="כותרת תחתונה תו"/>
    <w:link w:val="a5"/>
    <w:rsid w:val="0094500F"/>
    <w:rPr>
      <w:rFonts w:ascii="Times New Roman" w:eastAsia="Times New Roman" w:hAnsi="Times New Roman" w:cs="David"/>
      <w:noProof/>
      <w:sz w:val="24"/>
      <w:szCs w:val="24"/>
    </w:rPr>
  </w:style>
  <w:style w:type="table" w:styleId="a7">
    <w:name w:val="Table Grid"/>
    <w:basedOn w:val="a1"/>
    <w:rsid w:val="0094500F"/>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rsid w:val="0094500F"/>
  </w:style>
  <w:style w:type="character" w:styleId="Hyperlink">
    <w:name w:val="Hyperlink"/>
    <w:rsid w:val="00DD0CF8"/>
    <w:rPr>
      <w:color w:val="0563C1"/>
      <w:u w:val="single"/>
    </w:rPr>
  </w:style>
  <w:style w:type="paragraph" w:styleId="a9">
    <w:name w:val="Balloon Text"/>
    <w:basedOn w:val="a"/>
    <w:link w:val="aa"/>
    <w:rsid w:val="0082555C"/>
    <w:rPr>
      <w:rFonts w:ascii="Tahoma" w:hAnsi="Tahoma" w:cs="Tahoma"/>
      <w:sz w:val="16"/>
      <w:szCs w:val="16"/>
    </w:rPr>
  </w:style>
  <w:style w:type="character" w:customStyle="1" w:styleId="aa">
    <w:name w:val="טקסט בלונים תו"/>
    <w:basedOn w:val="a0"/>
    <w:link w:val="a9"/>
    <w:rsid w:val="0082555C"/>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84257/2.3" TargetMode="External"/><Relationship Id="rId13" Type="http://schemas.openxmlformats.org/officeDocument/2006/relationships/hyperlink" Target="http://www.nevo.co.il/law/4667/10" TargetMode="External"/><Relationship Id="rId18" Type="http://schemas.openxmlformats.org/officeDocument/2006/relationships/hyperlink" Target="http://www.nevo.co.il/law/84257/1T9" TargetMode="External"/><Relationship Id="rId26" Type="http://schemas.openxmlformats.org/officeDocument/2006/relationships/hyperlink" Target="http://www.nevo.co.il/law/4667" TargetMode="External"/><Relationship Id="rId3" Type="http://schemas.openxmlformats.org/officeDocument/2006/relationships/settings" Target="settings.xml"/><Relationship Id="rId21" Type="http://schemas.openxmlformats.org/officeDocument/2006/relationships/hyperlink" Target="http://www.nevo.co.il/law/84257/2.3" TargetMode="External"/><Relationship Id="rId34" Type="http://schemas.openxmlformats.org/officeDocument/2006/relationships/theme" Target="theme/theme1.xml"/><Relationship Id="rId7" Type="http://schemas.openxmlformats.org/officeDocument/2006/relationships/hyperlink" Target="http://www.nevo.co.il/law/84257" TargetMode="External"/><Relationship Id="rId12" Type="http://schemas.openxmlformats.org/officeDocument/2006/relationships/hyperlink" Target="http://www.nevo.co.il/law/4667" TargetMode="External"/><Relationship Id="rId17" Type="http://schemas.openxmlformats.org/officeDocument/2006/relationships/hyperlink" Target="http://www.nevo.co.il/law/84257/2.3" TargetMode="External"/><Relationship Id="rId25" Type="http://schemas.openxmlformats.org/officeDocument/2006/relationships/hyperlink" Target="http://www.nevo.co.il/law/4667/1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vo.co.il/law/70305" TargetMode="External"/><Relationship Id="rId20" Type="http://schemas.openxmlformats.org/officeDocument/2006/relationships/hyperlink" Target="http://www.nevo.co.il/law/84257/2.3"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law/73259" TargetMode="External"/><Relationship Id="rId24" Type="http://schemas.openxmlformats.org/officeDocument/2006/relationships/hyperlink" Target="http://www.nevo.co.il/case/20591268"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evo.co.il/law/84257/2.3" TargetMode="External"/><Relationship Id="rId23" Type="http://schemas.openxmlformats.org/officeDocument/2006/relationships/hyperlink" Target="http://www.nevo.co.il/case/20715984" TargetMode="External"/><Relationship Id="rId28" Type="http://schemas.openxmlformats.org/officeDocument/2006/relationships/hyperlink" Target="http://www.nevo.co.il/advertisements/nevo-100.doc" TargetMode="External"/><Relationship Id="rId10" Type="http://schemas.openxmlformats.org/officeDocument/2006/relationships/hyperlink" Target="http://www.nevo.co.il/law/70305" TargetMode="External"/><Relationship Id="rId19" Type="http://schemas.openxmlformats.org/officeDocument/2006/relationships/hyperlink" Target="http://www.nevo.co.il/law/73259"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vo.co.il/law/84257/1T9" TargetMode="External"/><Relationship Id="rId14" Type="http://schemas.openxmlformats.org/officeDocument/2006/relationships/hyperlink" Target="http://www.nevo.co.il/law/84257" TargetMode="External"/><Relationship Id="rId22" Type="http://schemas.openxmlformats.org/officeDocument/2006/relationships/hyperlink" Target="http://www.nevo.co.il/case/21950056" TargetMode="External"/><Relationship Id="rId27" Type="http://schemas.openxmlformats.org/officeDocument/2006/relationships/hyperlink" Target="http://www.nevo.co.il/case/23587185"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8094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nevo.co.il</vt:lpstr>
    </vt:vector>
  </TitlesOfParts>
  <Company/>
  <LinksUpToDate>false</LinksUpToDate>
  <CharactersWithSpaces>9693</CharactersWithSpaces>
  <SharedDoc>false</SharedDoc>
  <HLinks>
    <vt:vector size="132" baseType="variant">
      <vt:variant>
        <vt:i4>393283</vt:i4>
      </vt:variant>
      <vt:variant>
        <vt:i4>63</vt:i4>
      </vt:variant>
      <vt:variant>
        <vt:i4>0</vt:i4>
      </vt:variant>
      <vt:variant>
        <vt:i4>5</vt:i4>
      </vt:variant>
      <vt:variant>
        <vt:lpwstr>http://www.nevo.co.il/advertisements/nevo-100.doc</vt:lpwstr>
      </vt:variant>
      <vt:variant>
        <vt:lpwstr/>
      </vt:variant>
      <vt:variant>
        <vt:i4>3670142</vt:i4>
      </vt:variant>
      <vt:variant>
        <vt:i4>60</vt:i4>
      </vt:variant>
      <vt:variant>
        <vt:i4>0</vt:i4>
      </vt:variant>
      <vt:variant>
        <vt:i4>5</vt:i4>
      </vt:variant>
      <vt:variant>
        <vt:lpwstr>http://www.nevo.co.il/case/23587185</vt:lpwstr>
      </vt:variant>
      <vt:variant>
        <vt:lpwstr/>
      </vt:variant>
      <vt:variant>
        <vt:i4>8061026</vt:i4>
      </vt:variant>
      <vt:variant>
        <vt:i4>57</vt:i4>
      </vt:variant>
      <vt:variant>
        <vt:i4>0</vt:i4>
      </vt:variant>
      <vt:variant>
        <vt:i4>5</vt:i4>
      </vt:variant>
      <vt:variant>
        <vt:lpwstr>http://www.nevo.co.il/law/4667</vt:lpwstr>
      </vt:variant>
      <vt:variant>
        <vt:lpwstr/>
      </vt:variant>
      <vt:variant>
        <vt:i4>4849741</vt:i4>
      </vt:variant>
      <vt:variant>
        <vt:i4>54</vt:i4>
      </vt:variant>
      <vt:variant>
        <vt:i4>0</vt:i4>
      </vt:variant>
      <vt:variant>
        <vt:i4>5</vt:i4>
      </vt:variant>
      <vt:variant>
        <vt:lpwstr>http://www.nevo.co.il/law/4667/10</vt:lpwstr>
      </vt:variant>
      <vt:variant>
        <vt:lpwstr/>
      </vt:variant>
      <vt:variant>
        <vt:i4>3145855</vt:i4>
      </vt:variant>
      <vt:variant>
        <vt:i4>51</vt:i4>
      </vt:variant>
      <vt:variant>
        <vt:i4>0</vt:i4>
      </vt:variant>
      <vt:variant>
        <vt:i4>5</vt:i4>
      </vt:variant>
      <vt:variant>
        <vt:lpwstr>http://www.nevo.co.il/case/20591268</vt:lpwstr>
      </vt:variant>
      <vt:variant>
        <vt:lpwstr/>
      </vt:variant>
      <vt:variant>
        <vt:i4>3670140</vt:i4>
      </vt:variant>
      <vt:variant>
        <vt:i4>48</vt:i4>
      </vt:variant>
      <vt:variant>
        <vt:i4>0</vt:i4>
      </vt:variant>
      <vt:variant>
        <vt:i4>5</vt:i4>
      </vt:variant>
      <vt:variant>
        <vt:lpwstr>http://www.nevo.co.il/case/20715984</vt:lpwstr>
      </vt:variant>
      <vt:variant>
        <vt:lpwstr/>
      </vt:variant>
      <vt:variant>
        <vt:i4>4063344</vt:i4>
      </vt:variant>
      <vt:variant>
        <vt:i4>45</vt:i4>
      </vt:variant>
      <vt:variant>
        <vt:i4>0</vt:i4>
      </vt:variant>
      <vt:variant>
        <vt:i4>5</vt:i4>
      </vt:variant>
      <vt:variant>
        <vt:lpwstr>http://www.nevo.co.il/case/21950056</vt:lpwstr>
      </vt:variant>
      <vt:variant>
        <vt:lpwstr/>
      </vt:variant>
      <vt:variant>
        <vt:i4>7995503</vt:i4>
      </vt:variant>
      <vt:variant>
        <vt:i4>42</vt:i4>
      </vt:variant>
      <vt:variant>
        <vt:i4>0</vt:i4>
      </vt:variant>
      <vt:variant>
        <vt:i4>5</vt:i4>
      </vt:variant>
      <vt:variant>
        <vt:lpwstr>http://www.nevo.co.il/law/84257/2.3</vt:lpwstr>
      </vt:variant>
      <vt:variant>
        <vt:lpwstr/>
      </vt:variant>
      <vt:variant>
        <vt:i4>7995503</vt:i4>
      </vt:variant>
      <vt:variant>
        <vt:i4>39</vt:i4>
      </vt:variant>
      <vt:variant>
        <vt:i4>0</vt:i4>
      </vt:variant>
      <vt:variant>
        <vt:i4>5</vt:i4>
      </vt:variant>
      <vt:variant>
        <vt:lpwstr>http://www.nevo.co.il/law/84257/2.3</vt:lpwstr>
      </vt:variant>
      <vt:variant>
        <vt:lpwstr/>
      </vt:variant>
      <vt:variant>
        <vt:i4>8126565</vt:i4>
      </vt:variant>
      <vt:variant>
        <vt:i4>36</vt:i4>
      </vt:variant>
      <vt:variant>
        <vt:i4>0</vt:i4>
      </vt:variant>
      <vt:variant>
        <vt:i4>5</vt:i4>
      </vt:variant>
      <vt:variant>
        <vt:lpwstr>http://www.nevo.co.il/law/73259</vt:lpwstr>
      </vt:variant>
      <vt:variant>
        <vt:lpwstr/>
      </vt:variant>
      <vt:variant>
        <vt:i4>2097260</vt:i4>
      </vt:variant>
      <vt:variant>
        <vt:i4>33</vt:i4>
      </vt:variant>
      <vt:variant>
        <vt:i4>0</vt:i4>
      </vt:variant>
      <vt:variant>
        <vt:i4>5</vt:i4>
      </vt:variant>
      <vt:variant>
        <vt:lpwstr>http://www.nevo.co.il/law/84257/1T9</vt:lpwstr>
      </vt:variant>
      <vt:variant>
        <vt:lpwstr/>
      </vt:variant>
      <vt:variant>
        <vt:i4>7995503</vt:i4>
      </vt:variant>
      <vt:variant>
        <vt:i4>30</vt:i4>
      </vt:variant>
      <vt:variant>
        <vt:i4>0</vt:i4>
      </vt:variant>
      <vt:variant>
        <vt:i4>5</vt:i4>
      </vt:variant>
      <vt:variant>
        <vt:lpwstr>http://www.nevo.co.il/law/84257/2.3</vt:lpwstr>
      </vt:variant>
      <vt:variant>
        <vt:lpwstr/>
      </vt:variant>
      <vt:variant>
        <vt:i4>7995492</vt:i4>
      </vt:variant>
      <vt:variant>
        <vt:i4>27</vt:i4>
      </vt:variant>
      <vt:variant>
        <vt:i4>0</vt:i4>
      </vt:variant>
      <vt:variant>
        <vt:i4>5</vt:i4>
      </vt:variant>
      <vt:variant>
        <vt:lpwstr>http://www.nevo.co.il/law/70305</vt:lpwstr>
      </vt:variant>
      <vt:variant>
        <vt:lpwstr/>
      </vt:variant>
      <vt:variant>
        <vt:i4>7995503</vt:i4>
      </vt:variant>
      <vt:variant>
        <vt:i4>24</vt:i4>
      </vt:variant>
      <vt:variant>
        <vt:i4>0</vt:i4>
      </vt:variant>
      <vt:variant>
        <vt:i4>5</vt:i4>
      </vt:variant>
      <vt:variant>
        <vt:lpwstr>http://www.nevo.co.il/law/84257/2.3</vt:lpwstr>
      </vt:variant>
      <vt:variant>
        <vt:lpwstr/>
      </vt:variant>
      <vt:variant>
        <vt:i4>8061034</vt:i4>
      </vt:variant>
      <vt:variant>
        <vt:i4>21</vt:i4>
      </vt:variant>
      <vt:variant>
        <vt:i4>0</vt:i4>
      </vt:variant>
      <vt:variant>
        <vt:i4>5</vt:i4>
      </vt:variant>
      <vt:variant>
        <vt:lpwstr>http://www.nevo.co.il/law/84257</vt:lpwstr>
      </vt:variant>
      <vt:variant>
        <vt:lpwstr/>
      </vt:variant>
      <vt:variant>
        <vt:i4>4849741</vt:i4>
      </vt:variant>
      <vt:variant>
        <vt:i4>18</vt:i4>
      </vt:variant>
      <vt:variant>
        <vt:i4>0</vt:i4>
      </vt:variant>
      <vt:variant>
        <vt:i4>5</vt:i4>
      </vt:variant>
      <vt:variant>
        <vt:lpwstr>http://www.nevo.co.il/law/4667/10</vt:lpwstr>
      </vt:variant>
      <vt:variant>
        <vt:lpwstr/>
      </vt:variant>
      <vt:variant>
        <vt:i4>8061026</vt:i4>
      </vt:variant>
      <vt:variant>
        <vt:i4>15</vt:i4>
      </vt:variant>
      <vt:variant>
        <vt:i4>0</vt:i4>
      </vt:variant>
      <vt:variant>
        <vt:i4>5</vt:i4>
      </vt:variant>
      <vt:variant>
        <vt:lpwstr>http://www.nevo.co.il/law/4667</vt:lpwstr>
      </vt:variant>
      <vt:variant>
        <vt:lpwstr/>
      </vt:variant>
      <vt:variant>
        <vt:i4>8126565</vt:i4>
      </vt:variant>
      <vt:variant>
        <vt:i4>12</vt:i4>
      </vt:variant>
      <vt:variant>
        <vt:i4>0</vt:i4>
      </vt:variant>
      <vt:variant>
        <vt:i4>5</vt:i4>
      </vt:variant>
      <vt:variant>
        <vt:lpwstr>http://www.nevo.co.il/law/73259</vt:lpwstr>
      </vt:variant>
      <vt:variant>
        <vt:lpwstr/>
      </vt:variant>
      <vt:variant>
        <vt:i4>7995492</vt:i4>
      </vt:variant>
      <vt:variant>
        <vt:i4>9</vt:i4>
      </vt:variant>
      <vt:variant>
        <vt:i4>0</vt:i4>
      </vt:variant>
      <vt:variant>
        <vt:i4>5</vt:i4>
      </vt:variant>
      <vt:variant>
        <vt:lpwstr>http://www.nevo.co.il/law/70305</vt:lpwstr>
      </vt:variant>
      <vt:variant>
        <vt:lpwstr/>
      </vt:variant>
      <vt:variant>
        <vt:i4>2097260</vt:i4>
      </vt:variant>
      <vt:variant>
        <vt:i4>6</vt:i4>
      </vt:variant>
      <vt:variant>
        <vt:i4>0</vt:i4>
      </vt:variant>
      <vt:variant>
        <vt:i4>5</vt:i4>
      </vt:variant>
      <vt:variant>
        <vt:lpwstr>http://www.nevo.co.il/law/84257/1T9</vt:lpwstr>
      </vt:variant>
      <vt:variant>
        <vt:lpwstr/>
      </vt:variant>
      <vt:variant>
        <vt:i4>7995503</vt:i4>
      </vt:variant>
      <vt:variant>
        <vt:i4>3</vt:i4>
      </vt:variant>
      <vt:variant>
        <vt:i4>0</vt:i4>
      </vt:variant>
      <vt:variant>
        <vt:i4>5</vt:i4>
      </vt:variant>
      <vt:variant>
        <vt:lpwstr>http://www.nevo.co.il/law/84257/2.3</vt:lpwstr>
      </vt:variant>
      <vt:variant>
        <vt:lpwstr/>
      </vt:variant>
      <vt:variant>
        <vt:i4>8061034</vt:i4>
      </vt:variant>
      <vt:variant>
        <vt:i4>0</vt:i4>
      </vt:variant>
      <vt:variant>
        <vt:i4>0</vt:i4>
      </vt:variant>
      <vt:variant>
        <vt:i4>5</vt:i4>
      </vt:variant>
      <vt:variant>
        <vt:lpwstr>http://www.nevo.co.il/law/84257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creator>nissim</dc:creator>
  <cp:lastModifiedBy>Lior Weitz</cp:lastModifiedBy>
  <cp:revision>2</cp:revision>
  <dcterms:created xsi:type="dcterms:W3CDTF">2018-09-12T14:45:00Z</dcterms:created>
  <dcterms:modified xsi:type="dcterms:W3CDTF">2018-09-12T14:45:00Z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3</vt:lpwstr>
  </property>
  <property fmtid="{D5CDD505-2E9C-101B-9397-08002B2CF9AE}" pid="3" name="PSAKDIN">
    <vt:lpwstr>פסק-דין</vt:lpwstr>
  </property>
  <property fmtid="{D5CDD505-2E9C-101B-9397-08002B2CF9AE}" pid="4" name="NEWPROC">
    <vt:lpwstr>תק</vt:lpwstr>
  </property>
  <property fmtid="{D5CDD505-2E9C-101B-9397-08002B2CF9AE}" pid="5" name="NEWPARTA">
    <vt:lpwstr>42367</vt:lpwstr>
  </property>
  <property fmtid="{D5CDD505-2E9C-101B-9397-08002B2CF9AE}" pid="6" name="NEWPARTB">
    <vt:lpwstr>11</vt:lpwstr>
  </property>
  <property fmtid="{D5CDD505-2E9C-101B-9397-08002B2CF9AE}" pid="7" name="NEWPARTC">
    <vt:lpwstr>17</vt:lpwstr>
  </property>
  <property fmtid="{D5CDD505-2E9C-101B-9397-08002B2CF9AE}" pid="8" name="APPELLANT">
    <vt:lpwstr>רעות עוזרי</vt:lpwstr>
  </property>
  <property fmtid="{D5CDD505-2E9C-101B-9397-08002B2CF9AE}" pid="9" name="APPELLEE">
    <vt:lpwstr>בית החוגים והאומנויות בע#מ</vt:lpwstr>
  </property>
  <property fmtid="{D5CDD505-2E9C-101B-9397-08002B2CF9AE}" pid="10" name="JUDGE">
    <vt:lpwstr>דלית ורד</vt:lpwstr>
  </property>
  <property fmtid="{D5CDD505-2E9C-101B-9397-08002B2CF9AE}" pid="11" name="CITY">
    <vt:lpwstr>ת"א</vt:lpwstr>
  </property>
  <property fmtid="{D5CDD505-2E9C-101B-9397-08002B2CF9AE}" pid="12" name="DATE">
    <vt:lpwstr>20180731</vt:lpwstr>
  </property>
  <property fmtid="{D5CDD505-2E9C-101B-9397-08002B2CF9AE}" pid="13" name="TYPE_N_DATE">
    <vt:lpwstr>38020180731</vt:lpwstr>
  </property>
  <property fmtid="{D5CDD505-2E9C-101B-9397-08002B2CF9AE}" pid="14" name="CASESLISTTMP1">
    <vt:lpwstr>21950056;20715984;20591268;23587185</vt:lpwstr>
  </property>
  <property fmtid="{D5CDD505-2E9C-101B-9397-08002B2CF9AE}" pid="15" name="WORDNUMPAGES">
    <vt:lpwstr>6</vt:lpwstr>
  </property>
  <property fmtid="{D5CDD505-2E9C-101B-9397-08002B2CF9AE}" pid="16" name="TYPE_ABS_DATE">
    <vt:lpwstr>380020180731</vt:lpwstr>
  </property>
  <property fmtid="{D5CDD505-2E9C-101B-9397-08002B2CF9AE}" pid="17" name="ISABSTRACT">
    <vt:lpwstr>Y</vt:lpwstr>
  </property>
  <property fmtid="{D5CDD505-2E9C-101B-9397-08002B2CF9AE}" pid="18" name="LAWYER">
    <vt:lpwstr/>
  </property>
  <property fmtid="{D5CDD505-2E9C-101B-9397-08002B2CF9AE}" pid="19" name="APPELLANT1">
    <vt:lpwstr/>
  </property>
  <property fmtid="{D5CDD505-2E9C-101B-9397-08002B2CF9AE}" pid="20" name="APPELLANT2">
    <vt:lpwstr/>
  </property>
  <property fmtid="{D5CDD505-2E9C-101B-9397-08002B2CF9AE}" pid="21" name="APPELLEE1">
    <vt:lpwstr/>
  </property>
  <property fmtid="{D5CDD505-2E9C-101B-9397-08002B2CF9AE}" pid="22" name="APPELLEE2">
    <vt:lpwstr/>
  </property>
  <property fmtid="{D5CDD505-2E9C-101B-9397-08002B2CF9AE}" pid="23" name="PROCESS">
    <vt:lpwstr/>
  </property>
  <property fmtid="{D5CDD505-2E9C-101B-9397-08002B2CF9AE}" pid="24" name="PROCNUM">
    <vt:lpwstr/>
  </property>
  <property fmtid="{D5CDD505-2E9C-101B-9397-08002B2CF9AE}" pid="25" name="PROCYEAR">
    <vt:lpwstr/>
  </property>
  <property fmtid="{D5CDD505-2E9C-101B-9397-08002B2CF9AE}" pid="26" name="VOLUME">
    <vt:lpwstr/>
  </property>
  <property fmtid="{D5CDD505-2E9C-101B-9397-08002B2CF9AE}" pid="27" name="PART">
    <vt:lpwstr/>
  </property>
  <property fmtid="{D5CDD505-2E9C-101B-9397-08002B2CF9AE}" pid="28" name="PAGE">
    <vt:lpwstr/>
  </property>
  <property fmtid="{D5CDD505-2E9C-101B-9397-08002B2CF9AE}" pid="29" name="PADIMAIL">
    <vt:lpwstr/>
  </property>
  <property fmtid="{D5CDD505-2E9C-101B-9397-08002B2CF9AE}" pid="30" name="DELEMATA">
    <vt:lpwstr/>
  </property>
  <property fmtid="{D5CDD505-2E9C-101B-9397-08002B2CF9AE}" pid="31" name="LINKK1">
    <vt:lpwstr/>
  </property>
  <property fmtid="{D5CDD505-2E9C-101B-9397-08002B2CF9AE}" pid="32" name="LINKK2">
    <vt:lpwstr/>
  </property>
  <property fmtid="{D5CDD505-2E9C-101B-9397-08002B2CF9AE}" pid="33" name="LINKK3">
    <vt:lpwstr/>
  </property>
  <property fmtid="{D5CDD505-2E9C-101B-9397-08002B2CF9AE}" pid="34" name="LINKK4">
    <vt:lpwstr/>
  </property>
  <property fmtid="{D5CDD505-2E9C-101B-9397-08002B2CF9AE}" pid="35" name="LINKK5">
    <vt:lpwstr/>
  </property>
  <property fmtid="{D5CDD505-2E9C-101B-9397-08002B2CF9AE}" pid="36" name="LAWLISTTMP1">
    <vt:lpwstr>84257/002.3:4;1T9</vt:lpwstr>
  </property>
  <property fmtid="{D5CDD505-2E9C-101B-9397-08002B2CF9AE}" pid="37" name="LAWLISTTMP2">
    <vt:lpwstr>70305</vt:lpwstr>
  </property>
  <property fmtid="{D5CDD505-2E9C-101B-9397-08002B2CF9AE}" pid="38" name="LAWLISTTMP3">
    <vt:lpwstr>73259</vt:lpwstr>
  </property>
  <property fmtid="{D5CDD505-2E9C-101B-9397-08002B2CF9AE}" pid="39" name="LAWLISTTMP4">
    <vt:lpwstr>4667/010</vt:lpwstr>
  </property>
</Properties>
</file>